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275C6400" w:rsidR="00537809" w:rsidRPr="00C461E2" w:rsidRDefault="00537809" w:rsidP="00537809">
      <w:pPr>
        <w:pStyle w:val="Header"/>
        <w:tabs>
          <w:tab w:val="right" w:pos="9639"/>
        </w:tabs>
        <w:rPr>
          <w:bCs/>
          <w:i/>
          <w:noProof w:val="0"/>
          <w:sz w:val="24"/>
          <w:szCs w:val="24"/>
          <w:lang w:val="en-US"/>
        </w:rPr>
      </w:pPr>
      <w:r w:rsidRPr="00C461E2">
        <w:rPr>
          <w:bCs/>
          <w:noProof w:val="0"/>
          <w:sz w:val="24"/>
          <w:szCs w:val="24"/>
          <w:lang w:val="en-US"/>
        </w:rPr>
        <w:t>3GPP TSG-RAN WG2 Meeting #12</w:t>
      </w:r>
      <w:r w:rsidR="00CB7D0B">
        <w:rPr>
          <w:bCs/>
          <w:noProof w:val="0"/>
          <w:sz w:val="24"/>
          <w:szCs w:val="24"/>
          <w:lang w:val="en-US"/>
        </w:rPr>
        <w:t>7</w:t>
      </w:r>
      <w:r w:rsidRPr="00C461E2">
        <w:rPr>
          <w:bCs/>
          <w:noProof w:val="0"/>
          <w:sz w:val="24"/>
          <w:szCs w:val="24"/>
          <w:lang w:val="en-US"/>
        </w:rPr>
        <w:tab/>
      </w:r>
      <w:r w:rsidRPr="00C461E2">
        <w:rPr>
          <w:rFonts w:hint="eastAsia"/>
          <w:bCs/>
          <w:noProof w:val="0"/>
          <w:sz w:val="24"/>
          <w:szCs w:val="24"/>
          <w:lang w:val="en-US"/>
        </w:rPr>
        <w:t>R</w:t>
      </w:r>
      <w:r w:rsidRPr="00C461E2">
        <w:rPr>
          <w:bCs/>
          <w:noProof w:val="0"/>
          <w:sz w:val="24"/>
          <w:szCs w:val="24"/>
          <w:lang w:val="en-US"/>
        </w:rPr>
        <w:t>2</w:t>
      </w:r>
      <w:r w:rsidRPr="00C461E2">
        <w:rPr>
          <w:rFonts w:hint="eastAsia"/>
          <w:bCs/>
          <w:noProof w:val="0"/>
          <w:sz w:val="24"/>
          <w:szCs w:val="24"/>
          <w:lang w:val="en-US"/>
        </w:rPr>
        <w:t>-</w:t>
      </w:r>
      <w:r w:rsidRPr="00C461E2">
        <w:rPr>
          <w:bCs/>
          <w:noProof w:val="0"/>
          <w:sz w:val="24"/>
          <w:szCs w:val="24"/>
          <w:lang w:val="en-US"/>
        </w:rPr>
        <w:t>2</w:t>
      </w:r>
      <w:r w:rsidR="00F87048" w:rsidRPr="00C461E2">
        <w:rPr>
          <w:bCs/>
          <w:noProof w:val="0"/>
          <w:sz w:val="24"/>
          <w:szCs w:val="24"/>
          <w:lang w:val="en-US"/>
        </w:rPr>
        <w:t>40</w:t>
      </w:r>
      <w:r w:rsidR="00710C2C">
        <w:rPr>
          <w:bCs/>
          <w:noProof w:val="0"/>
          <w:sz w:val="24"/>
          <w:szCs w:val="24"/>
          <w:lang w:val="en-US"/>
        </w:rPr>
        <w:t>6956</w:t>
      </w:r>
    </w:p>
    <w:p w14:paraId="3723E1D3" w14:textId="6288EFAA" w:rsidR="005432D9" w:rsidRPr="00C461E2" w:rsidRDefault="00CB7D0B" w:rsidP="005432D9">
      <w:pPr>
        <w:pStyle w:val="Header"/>
        <w:tabs>
          <w:tab w:val="right" w:pos="9639"/>
        </w:tabs>
        <w:rPr>
          <w:sz w:val="24"/>
          <w:szCs w:val="24"/>
          <w:lang w:val="en-US" w:eastAsia="zh-CN"/>
        </w:rPr>
      </w:pPr>
      <w:r w:rsidRPr="00CB7D0B">
        <w:rPr>
          <w:sz w:val="24"/>
          <w:szCs w:val="24"/>
          <w:lang w:val="en-US" w:eastAsia="zh-CN"/>
        </w:rPr>
        <w:t>Maastricht, Netherlands, 19 – 23 August 2024</w:t>
      </w:r>
      <w:r w:rsidRPr="00CB7D0B">
        <w:rPr>
          <w:sz w:val="24"/>
          <w:szCs w:val="24"/>
          <w:lang w:val="en-US" w:eastAsia="zh-CN"/>
        </w:rPr>
        <w:tab/>
      </w:r>
    </w:p>
    <w:p w14:paraId="2E02E5F5" w14:textId="77777777" w:rsidR="00A209D6" w:rsidRPr="00C461E2" w:rsidRDefault="00A209D6" w:rsidP="00A209D6">
      <w:pPr>
        <w:pStyle w:val="Header"/>
        <w:rPr>
          <w:bCs/>
          <w:noProof w:val="0"/>
          <w:sz w:val="24"/>
          <w:lang w:val="en-US"/>
        </w:rPr>
      </w:pPr>
    </w:p>
    <w:p w14:paraId="403CB9C0" w14:textId="77777777" w:rsidR="00A209D6" w:rsidRPr="00C461E2" w:rsidRDefault="00A209D6" w:rsidP="00A209D6">
      <w:pPr>
        <w:pStyle w:val="Header"/>
        <w:rPr>
          <w:bCs/>
          <w:noProof w:val="0"/>
          <w:sz w:val="24"/>
          <w:lang w:val="en-US"/>
        </w:rPr>
      </w:pPr>
    </w:p>
    <w:p w14:paraId="310B92C9" w14:textId="510E1569" w:rsidR="00446C3A" w:rsidRPr="00C461E2" w:rsidRDefault="00446C3A" w:rsidP="00446C3A">
      <w:pPr>
        <w:pStyle w:val="CRCoverPage"/>
        <w:tabs>
          <w:tab w:val="left" w:pos="1985"/>
        </w:tabs>
        <w:rPr>
          <w:rFonts w:cs="Arial"/>
          <w:b/>
          <w:bCs/>
          <w:sz w:val="24"/>
          <w:lang w:val="en-US" w:eastAsia="ja-JP"/>
        </w:rPr>
      </w:pPr>
      <w:r w:rsidRPr="00C461E2">
        <w:rPr>
          <w:rFonts w:cs="Arial"/>
          <w:b/>
          <w:bCs/>
          <w:sz w:val="24"/>
          <w:lang w:val="en-US"/>
        </w:rPr>
        <w:t>Agenda item:</w:t>
      </w:r>
      <w:r w:rsidRPr="00C461E2">
        <w:rPr>
          <w:rFonts w:cs="Arial"/>
          <w:b/>
          <w:bCs/>
          <w:sz w:val="24"/>
          <w:lang w:val="en-US"/>
        </w:rPr>
        <w:tab/>
      </w:r>
      <w:r w:rsidR="001D714E" w:rsidRPr="00C461E2">
        <w:rPr>
          <w:rFonts w:cs="Arial"/>
          <w:b/>
          <w:bCs/>
          <w:sz w:val="24"/>
          <w:lang w:val="en-US" w:eastAsia="ja-JP"/>
        </w:rPr>
        <w:t>8.5.4</w:t>
      </w:r>
    </w:p>
    <w:p w14:paraId="73188B46" w14:textId="77777777" w:rsidR="00446C3A" w:rsidRPr="00C461E2" w:rsidRDefault="00446C3A" w:rsidP="00446C3A">
      <w:pPr>
        <w:tabs>
          <w:tab w:val="left" w:pos="1985"/>
        </w:tabs>
        <w:ind w:left="1985" w:hanging="1985"/>
        <w:rPr>
          <w:rFonts w:ascii="Arial" w:hAnsi="Arial" w:cs="Arial"/>
          <w:b/>
          <w:bCs/>
          <w:sz w:val="24"/>
        </w:rPr>
      </w:pPr>
      <w:r w:rsidRPr="00C461E2">
        <w:rPr>
          <w:rFonts w:ascii="Arial" w:hAnsi="Arial" w:cs="Arial"/>
          <w:b/>
          <w:bCs/>
          <w:sz w:val="24"/>
        </w:rPr>
        <w:t>Source:</w:t>
      </w:r>
      <w:r w:rsidRPr="00C461E2">
        <w:rPr>
          <w:rFonts w:ascii="Arial" w:hAnsi="Arial" w:cs="Arial"/>
          <w:b/>
          <w:bCs/>
          <w:sz w:val="24"/>
        </w:rPr>
        <w:tab/>
        <w:t>Nokia, Nokia Shanghai Bell</w:t>
      </w:r>
    </w:p>
    <w:p w14:paraId="553D264F" w14:textId="7C0B8C5B" w:rsidR="00446C3A" w:rsidRPr="00C461E2" w:rsidRDefault="00446C3A" w:rsidP="00446C3A">
      <w:pPr>
        <w:ind w:left="1985" w:hanging="1985"/>
        <w:rPr>
          <w:rFonts w:ascii="Arial" w:hAnsi="Arial" w:cs="Arial"/>
          <w:b/>
          <w:bCs/>
          <w:sz w:val="24"/>
        </w:rPr>
      </w:pPr>
      <w:r w:rsidRPr="00C461E2">
        <w:rPr>
          <w:rFonts w:ascii="Arial" w:hAnsi="Arial" w:cs="Arial"/>
          <w:b/>
          <w:bCs/>
          <w:sz w:val="24"/>
        </w:rPr>
        <w:t>Title:</w:t>
      </w:r>
      <w:r w:rsidRPr="00C461E2">
        <w:rPr>
          <w:rFonts w:ascii="Arial" w:hAnsi="Arial" w:cs="Arial"/>
          <w:b/>
          <w:bCs/>
          <w:sz w:val="24"/>
        </w:rPr>
        <w:tab/>
      </w:r>
      <w:r w:rsidR="001C69BC" w:rsidRPr="00C461E2">
        <w:rPr>
          <w:rFonts w:ascii="Arial" w:hAnsi="Arial" w:cs="Arial"/>
          <w:b/>
          <w:bCs/>
          <w:sz w:val="24"/>
        </w:rPr>
        <w:t>On Adaptation of common signal/channel transmissions for NES</w:t>
      </w:r>
    </w:p>
    <w:p w14:paraId="25F387E8" w14:textId="3AEEC813" w:rsidR="00446C3A" w:rsidRPr="00C461E2" w:rsidRDefault="00446C3A" w:rsidP="00446C3A">
      <w:pPr>
        <w:ind w:left="1985" w:hanging="1985"/>
        <w:rPr>
          <w:rFonts w:ascii="Arial" w:hAnsi="Arial" w:cs="Arial"/>
          <w:b/>
          <w:bCs/>
          <w:sz w:val="24"/>
        </w:rPr>
      </w:pPr>
      <w:r w:rsidRPr="00C461E2">
        <w:rPr>
          <w:rFonts w:ascii="Arial" w:hAnsi="Arial" w:cs="Arial"/>
          <w:b/>
          <w:bCs/>
          <w:sz w:val="24"/>
        </w:rPr>
        <w:t>WID/SID:</w:t>
      </w:r>
      <w:r w:rsidRPr="00C461E2">
        <w:rPr>
          <w:rFonts w:ascii="Arial" w:hAnsi="Arial" w:cs="Arial"/>
          <w:b/>
          <w:bCs/>
          <w:sz w:val="24"/>
        </w:rPr>
        <w:tab/>
      </w:r>
      <w:proofErr w:type="spellStart"/>
      <w:r w:rsidR="001D714E" w:rsidRPr="00C461E2">
        <w:rPr>
          <w:rFonts w:ascii="Arial" w:hAnsi="Arial" w:cs="Arial"/>
          <w:b/>
          <w:bCs/>
          <w:sz w:val="24"/>
        </w:rPr>
        <w:t>Netw_Energy_NR_enh</w:t>
      </w:r>
      <w:proofErr w:type="spellEnd"/>
    </w:p>
    <w:p w14:paraId="6FEB19D6" w14:textId="77777777" w:rsidR="00446C3A" w:rsidRPr="00C461E2" w:rsidRDefault="00446C3A" w:rsidP="00446C3A">
      <w:pPr>
        <w:tabs>
          <w:tab w:val="left" w:pos="1985"/>
        </w:tabs>
        <w:rPr>
          <w:rFonts w:ascii="Arial" w:hAnsi="Arial" w:cs="Arial"/>
          <w:b/>
          <w:bCs/>
          <w:sz w:val="24"/>
        </w:rPr>
      </w:pPr>
      <w:r w:rsidRPr="00C461E2">
        <w:rPr>
          <w:rFonts w:ascii="Arial" w:hAnsi="Arial" w:cs="Arial"/>
          <w:b/>
          <w:bCs/>
          <w:sz w:val="24"/>
        </w:rPr>
        <w:t>Document for:</w:t>
      </w:r>
      <w:r w:rsidRPr="00C461E2">
        <w:rPr>
          <w:rFonts w:ascii="Arial" w:hAnsi="Arial" w:cs="Arial"/>
          <w:b/>
          <w:bCs/>
          <w:sz w:val="24"/>
        </w:rPr>
        <w:tab/>
        <w:t>Discussion and Decision</w:t>
      </w:r>
    </w:p>
    <w:p w14:paraId="294B1FC1" w14:textId="77777777" w:rsidR="00A209D6" w:rsidRPr="00C461E2" w:rsidRDefault="00A209D6" w:rsidP="00A209D6">
      <w:pPr>
        <w:pStyle w:val="Heading1"/>
        <w:rPr>
          <w:lang w:val="en-US"/>
        </w:rPr>
      </w:pPr>
      <w:r w:rsidRPr="00C461E2">
        <w:rPr>
          <w:lang w:val="en-US"/>
        </w:rPr>
        <w:t>1</w:t>
      </w:r>
      <w:r w:rsidRPr="00C461E2">
        <w:rPr>
          <w:lang w:val="en-US"/>
        </w:rPr>
        <w:tab/>
        <w:t>Introduction</w:t>
      </w:r>
    </w:p>
    <w:p w14:paraId="4854EE57" w14:textId="0531D70E" w:rsidR="009339CB" w:rsidRPr="00C461E2" w:rsidRDefault="001D714E" w:rsidP="009339CB">
      <w:r w:rsidRPr="00C461E2">
        <w:t>In this contribution we discuss aspects related to the potential adaptations of the common signal/channel transmissions.</w:t>
      </w:r>
    </w:p>
    <w:p w14:paraId="5982B445" w14:textId="543DA2B0" w:rsidR="009339CB" w:rsidRPr="0093123F" w:rsidRDefault="00CE643D" w:rsidP="003F3317">
      <w:pPr>
        <w:pStyle w:val="Heading1"/>
        <w:rPr>
          <w:lang w:val="en-US"/>
        </w:rPr>
      </w:pPr>
      <w:r w:rsidRPr="00C461E2">
        <w:rPr>
          <w:lang w:val="en-US"/>
        </w:rPr>
        <w:t>2</w:t>
      </w:r>
      <w:r w:rsidRPr="00C461E2">
        <w:rPr>
          <w:lang w:val="en-US"/>
        </w:rPr>
        <w:tab/>
        <w:t>Adaptation of SSB in time domain</w:t>
      </w:r>
    </w:p>
    <w:p w14:paraId="7E5FB52F" w14:textId="19E2EBD8" w:rsidR="00B35677" w:rsidRDefault="007351FD" w:rsidP="009339CB">
      <w:r w:rsidRPr="00C461E2">
        <w:t xml:space="preserve">During the </w:t>
      </w:r>
      <w:r w:rsidR="00B35677">
        <w:t>previous RAN2</w:t>
      </w:r>
      <w:r w:rsidRPr="00C461E2">
        <w:t xml:space="preserve"> meeting, </w:t>
      </w:r>
      <w:r w:rsidR="00B35677">
        <w:t>there were no agreements on this topic.</w:t>
      </w:r>
      <w:r w:rsidR="005B5D45">
        <w:t xml:space="preserve"> </w:t>
      </w:r>
      <w:r w:rsidR="00540E87">
        <w:t xml:space="preserve">Pending </w:t>
      </w:r>
      <w:r w:rsidR="00734F9B">
        <w:t>agreements</w:t>
      </w:r>
      <w:r w:rsidR="005B5D45">
        <w:t xml:space="preserve"> from </w:t>
      </w:r>
      <w:r w:rsidR="00734F9B">
        <w:t xml:space="preserve">the </w:t>
      </w:r>
      <w:r w:rsidR="005B5D45">
        <w:t>RAN1 meetings are</w:t>
      </w:r>
    </w:p>
    <w:p w14:paraId="58E8A07E" w14:textId="1E751F75" w:rsidR="00734F9B" w:rsidRDefault="00734F9B" w:rsidP="00734F9B">
      <w:pPr>
        <w:pStyle w:val="ListParagraph"/>
        <w:numPr>
          <w:ilvl w:val="0"/>
          <w:numId w:val="33"/>
        </w:numPr>
      </w:pPr>
      <w:r>
        <w:t xml:space="preserve">RAN1#117 meeting: Two options of SSB adaptation </w:t>
      </w:r>
      <w:r w:rsidR="00E56603">
        <w:t>were described</w:t>
      </w:r>
      <w:r>
        <w:t xml:space="preserve">: </w:t>
      </w:r>
    </w:p>
    <w:p w14:paraId="2A995C20" w14:textId="77777777" w:rsidR="00734F9B" w:rsidRDefault="00734F9B" w:rsidP="00734F9B">
      <w:pPr>
        <w:pStyle w:val="ListParagraph"/>
        <w:numPr>
          <w:ilvl w:val="1"/>
          <w:numId w:val="33"/>
        </w:numPr>
      </w:pPr>
      <w:r>
        <w:t>Option 1: Adaptation of SSB burst periodicity using one or more SSB burst periodicity value(s)</w:t>
      </w:r>
    </w:p>
    <w:p w14:paraId="76268BAF" w14:textId="3934687D" w:rsidR="007351FD" w:rsidRPr="00734F9B" w:rsidRDefault="00734F9B" w:rsidP="00734F9B">
      <w:pPr>
        <w:pStyle w:val="ListParagraph"/>
        <w:numPr>
          <w:ilvl w:val="1"/>
          <w:numId w:val="33"/>
        </w:numPr>
      </w:pPr>
      <w:r>
        <w:t>Option 2: Adaptation based on two SSB configurations [where up to two configurations can be active]</w:t>
      </w:r>
      <w:r w:rsidR="007351FD" w:rsidRPr="00734F9B">
        <w:rPr>
          <w:lang w:val="en-GB"/>
        </w:rPr>
        <w:t>.</w:t>
      </w:r>
    </w:p>
    <w:tbl>
      <w:tblPr>
        <w:tblStyle w:val="TableGrid"/>
        <w:tblW w:w="0" w:type="auto"/>
        <w:tblLook w:val="04A0" w:firstRow="1" w:lastRow="0" w:firstColumn="1" w:lastColumn="0" w:noHBand="0" w:noVBand="1"/>
      </w:tblPr>
      <w:tblGrid>
        <w:gridCol w:w="9631"/>
      </w:tblGrid>
      <w:tr w:rsidR="007351FD" w:rsidRPr="00C461E2" w14:paraId="41842BD4" w14:textId="77777777" w:rsidTr="007351FD">
        <w:tc>
          <w:tcPr>
            <w:tcW w:w="9631" w:type="dxa"/>
          </w:tcPr>
          <w:p w14:paraId="55A770F3" w14:textId="77777777" w:rsidR="00734F9B" w:rsidRPr="00E13FF2" w:rsidRDefault="00734F9B" w:rsidP="00734F9B">
            <w:pPr>
              <w:spacing w:after="0"/>
              <w:rPr>
                <w:rFonts w:ascii="Arial" w:eastAsia="Times New Roman" w:hAnsi="Arial" w:cs="Arial"/>
                <w:sz w:val="18"/>
                <w:szCs w:val="18"/>
              </w:rPr>
            </w:pPr>
            <w:r w:rsidRPr="00E13FF2">
              <w:rPr>
                <w:rFonts w:ascii="Times" w:eastAsia="Times New Roman" w:hAnsi="Times" w:cs="Times"/>
                <w:b/>
                <w:bCs/>
                <w:position w:val="-1"/>
                <w:sz w:val="18"/>
                <w:szCs w:val="18"/>
                <w:highlight w:val="green"/>
              </w:rPr>
              <w:t>Agreement</w:t>
            </w:r>
            <w:r w:rsidRPr="00E13FF2">
              <w:rPr>
                <w:rFonts w:ascii="Times" w:eastAsia="Times New Roman" w:hAnsi="Times" w:cs="Times"/>
                <w:sz w:val="18"/>
                <w:szCs w:val="18"/>
              </w:rPr>
              <w:t>​</w:t>
            </w:r>
          </w:p>
          <w:p w14:paraId="13A4F3BF" w14:textId="77777777" w:rsidR="00734F9B" w:rsidRPr="00E13FF2" w:rsidRDefault="00734F9B" w:rsidP="00734F9B">
            <w:pPr>
              <w:spacing w:after="0"/>
              <w:rPr>
                <w:rFonts w:ascii="Arial" w:eastAsia="Times New Roman" w:hAnsi="Arial" w:cs="Arial"/>
                <w:sz w:val="18"/>
                <w:szCs w:val="18"/>
              </w:rPr>
            </w:pPr>
            <w:r w:rsidRPr="00E13FF2">
              <w:rPr>
                <w:rFonts w:eastAsia="Times New Roman"/>
                <w:position w:val="-1"/>
                <w:sz w:val="18"/>
                <w:szCs w:val="18"/>
              </w:rPr>
              <w:t>For adaptation of SSB in time-domain, Option 1 is supported</w:t>
            </w:r>
            <w:r w:rsidRPr="00E13FF2">
              <w:rPr>
                <w:rFonts w:eastAsia="Times New Roman"/>
                <w:sz w:val="18"/>
                <w:szCs w:val="18"/>
              </w:rPr>
              <w:t>​</w:t>
            </w:r>
          </w:p>
          <w:p w14:paraId="3A279538" w14:textId="77777777" w:rsidR="00734F9B" w:rsidRPr="00E13FF2" w:rsidRDefault="00734F9B" w:rsidP="00734F9B">
            <w:pPr>
              <w:numPr>
                <w:ilvl w:val="0"/>
                <w:numId w:val="34"/>
              </w:numPr>
              <w:spacing w:after="0"/>
              <w:ind w:left="1332" w:firstLine="0"/>
              <w:textAlignment w:val="baseline"/>
              <w:rPr>
                <w:rFonts w:ascii="Arial" w:eastAsia="Times New Roman" w:hAnsi="Arial" w:cs="Arial"/>
                <w:sz w:val="18"/>
                <w:szCs w:val="18"/>
              </w:rPr>
            </w:pPr>
            <w:r w:rsidRPr="00E13FF2">
              <w:rPr>
                <w:rFonts w:ascii="Times" w:eastAsia="Times New Roman" w:hAnsi="Times" w:cs="Times"/>
                <w:position w:val="-1"/>
                <w:sz w:val="18"/>
                <w:szCs w:val="18"/>
              </w:rPr>
              <w:t>Option 1: Adaptation of SSB burst periodicity using one or more SSB burst periodicity value(s)</w:t>
            </w:r>
            <w:r w:rsidRPr="00E13FF2">
              <w:rPr>
                <w:rFonts w:ascii="Times" w:eastAsia="Times New Roman" w:hAnsi="Times" w:cs="Times"/>
                <w:sz w:val="18"/>
                <w:szCs w:val="18"/>
              </w:rPr>
              <w:t>​</w:t>
            </w:r>
          </w:p>
          <w:p w14:paraId="1B944CFA" w14:textId="77777777" w:rsidR="00734F9B" w:rsidRPr="00E13FF2" w:rsidRDefault="00734F9B" w:rsidP="00734F9B">
            <w:pPr>
              <w:numPr>
                <w:ilvl w:val="0"/>
                <w:numId w:val="34"/>
              </w:numPr>
              <w:spacing w:after="0"/>
              <w:ind w:left="1332" w:firstLine="0"/>
              <w:textAlignment w:val="baseline"/>
              <w:rPr>
                <w:rFonts w:ascii="Arial" w:eastAsia="Times New Roman" w:hAnsi="Arial" w:cs="Arial"/>
                <w:sz w:val="18"/>
                <w:szCs w:val="18"/>
              </w:rPr>
            </w:pPr>
            <w:r w:rsidRPr="00E13FF2">
              <w:rPr>
                <w:rFonts w:ascii="Times" w:eastAsia="Times New Roman" w:hAnsi="Times" w:cs="Times"/>
                <w:position w:val="-1"/>
                <w:sz w:val="18"/>
                <w:szCs w:val="18"/>
              </w:rPr>
              <w:t>Note: Using Option 2 to realize Option 1 is not precluded</w:t>
            </w:r>
            <w:r w:rsidRPr="00E13FF2">
              <w:rPr>
                <w:rFonts w:ascii="Times" w:eastAsia="Times New Roman" w:hAnsi="Times" w:cs="Times"/>
                <w:sz w:val="18"/>
                <w:szCs w:val="18"/>
              </w:rPr>
              <w:t>​</w:t>
            </w:r>
          </w:p>
          <w:p w14:paraId="2359DF2D" w14:textId="77777777" w:rsidR="00734F9B" w:rsidRPr="00E13FF2" w:rsidRDefault="00734F9B" w:rsidP="00734F9B">
            <w:pPr>
              <w:numPr>
                <w:ilvl w:val="0"/>
                <w:numId w:val="34"/>
              </w:numPr>
              <w:spacing w:after="0"/>
              <w:ind w:left="2046" w:firstLine="0"/>
              <w:textAlignment w:val="baseline"/>
              <w:rPr>
                <w:rFonts w:ascii="Arial" w:eastAsia="Times New Roman" w:hAnsi="Arial" w:cs="Arial"/>
                <w:sz w:val="18"/>
                <w:szCs w:val="18"/>
              </w:rPr>
            </w:pPr>
            <w:r w:rsidRPr="00E13FF2">
              <w:rPr>
                <w:rFonts w:ascii="Times" w:eastAsia="Times New Roman" w:hAnsi="Times" w:cs="Times"/>
                <w:position w:val="-1"/>
                <w:sz w:val="18"/>
                <w:szCs w:val="18"/>
              </w:rPr>
              <w:t>Option 2: Adaptation based on two SSB configurations [where up to two configurations can be active]</w:t>
            </w:r>
            <w:r w:rsidRPr="00E13FF2">
              <w:rPr>
                <w:rFonts w:ascii="Times" w:eastAsia="Times New Roman" w:hAnsi="Times" w:cs="Times"/>
                <w:sz w:val="18"/>
                <w:szCs w:val="18"/>
              </w:rPr>
              <w:t>​</w:t>
            </w:r>
          </w:p>
          <w:p w14:paraId="49D37858" w14:textId="77777777" w:rsidR="00734F9B" w:rsidRPr="00E13FF2" w:rsidRDefault="00734F9B" w:rsidP="00734F9B">
            <w:pPr>
              <w:numPr>
                <w:ilvl w:val="0"/>
                <w:numId w:val="34"/>
              </w:numPr>
              <w:spacing w:after="0"/>
              <w:ind w:left="2760" w:firstLine="0"/>
              <w:textAlignment w:val="baseline"/>
              <w:rPr>
                <w:rFonts w:ascii="Arial" w:eastAsia="Times New Roman" w:hAnsi="Arial" w:cs="Arial"/>
                <w:sz w:val="18"/>
                <w:szCs w:val="18"/>
              </w:rPr>
            </w:pPr>
            <w:r w:rsidRPr="00E13FF2">
              <w:rPr>
                <w:rFonts w:ascii="Times" w:eastAsia="Times New Roman" w:hAnsi="Times" w:cs="Times"/>
                <w:position w:val="-1"/>
                <w:sz w:val="18"/>
                <w:szCs w:val="18"/>
              </w:rPr>
              <w:t xml:space="preserve">FFS: details of the differences between the two SSB configurations, </w:t>
            </w:r>
            <w:r w:rsidRPr="00E13FF2" w:rsidDel="00E16BDE">
              <w:rPr>
                <w:rFonts w:ascii="Times" w:eastAsia="Times New Roman" w:hAnsi="Times" w:cs="Times"/>
                <w:position w:val="-1"/>
                <w:sz w:val="18"/>
                <w:szCs w:val="18"/>
              </w:rPr>
              <w:t>e.g</w:t>
            </w:r>
            <w:r w:rsidRPr="00E13FF2">
              <w:rPr>
                <w:rFonts w:ascii="Times" w:eastAsia="Times New Roman" w:hAnsi="Times" w:cs="Times"/>
                <w:position w:val="-1"/>
                <w:sz w:val="18"/>
                <w:szCs w:val="18"/>
              </w:rPr>
              <w:t>., two different periodicities</w:t>
            </w:r>
            <w:r w:rsidRPr="00E13FF2">
              <w:rPr>
                <w:rFonts w:ascii="Times" w:eastAsia="Times New Roman" w:hAnsi="Times" w:cs="Times"/>
                <w:sz w:val="18"/>
                <w:szCs w:val="18"/>
              </w:rPr>
              <w:t>​</w:t>
            </w:r>
          </w:p>
          <w:p w14:paraId="50BCAE3F" w14:textId="77777777" w:rsidR="00734F9B" w:rsidRPr="00E13FF2" w:rsidRDefault="00734F9B" w:rsidP="00734F9B">
            <w:pPr>
              <w:numPr>
                <w:ilvl w:val="0"/>
                <w:numId w:val="34"/>
              </w:numPr>
              <w:spacing w:after="0"/>
              <w:ind w:left="1332" w:firstLine="0"/>
              <w:textAlignment w:val="baseline"/>
              <w:rPr>
                <w:rFonts w:ascii="Arial" w:eastAsia="Times New Roman" w:hAnsi="Arial" w:cs="Arial"/>
                <w:sz w:val="18"/>
                <w:szCs w:val="18"/>
              </w:rPr>
            </w:pPr>
            <w:r w:rsidRPr="00E13FF2">
              <w:rPr>
                <w:rFonts w:ascii="Times" w:eastAsia="Times New Roman" w:hAnsi="Times" w:cs="Times"/>
                <w:position w:val="-1"/>
                <w:sz w:val="18"/>
                <w:szCs w:val="18"/>
              </w:rPr>
              <w:t>FFS: Details including applicable scenarios </w:t>
            </w:r>
            <w:r w:rsidRPr="00E13FF2">
              <w:rPr>
                <w:rFonts w:ascii="Times" w:eastAsia="Times New Roman" w:hAnsi="Times" w:cs="Times"/>
                <w:sz w:val="18"/>
                <w:szCs w:val="18"/>
              </w:rPr>
              <w:t>​</w:t>
            </w:r>
          </w:p>
          <w:p w14:paraId="39DF2B12" w14:textId="71757E66" w:rsidR="007351FD" w:rsidRPr="00C461E2" w:rsidRDefault="00734F9B" w:rsidP="00734F9B">
            <w:r w:rsidRPr="00E13FF2">
              <w:rPr>
                <w:rFonts w:ascii="Times" w:eastAsia="Times New Roman" w:hAnsi="Times" w:cs="Times"/>
                <w:position w:val="-1"/>
                <w:sz w:val="18"/>
                <w:szCs w:val="18"/>
              </w:rPr>
              <w:t>FFS: Support of Cell DTX for connected mode UEs for SSB</w:t>
            </w:r>
            <w:r w:rsidRPr="00E13FF2">
              <w:rPr>
                <w:rFonts w:ascii="Times" w:eastAsia="Times New Roman" w:hAnsi="Times" w:cs="Times"/>
                <w:sz w:val="18"/>
                <w:szCs w:val="18"/>
              </w:rPr>
              <w:t>​</w:t>
            </w:r>
          </w:p>
        </w:tc>
      </w:tr>
    </w:tbl>
    <w:p w14:paraId="410F1178" w14:textId="4A6E91FF" w:rsidR="007351FD" w:rsidRPr="00C461E2" w:rsidRDefault="007351FD" w:rsidP="009339CB"/>
    <w:p w14:paraId="2E57CF38" w14:textId="1CFCEC22" w:rsidR="007351FD" w:rsidRPr="00A845D0" w:rsidRDefault="007351FD" w:rsidP="00A845D0">
      <w:pPr>
        <w:pStyle w:val="ListParagraph"/>
        <w:numPr>
          <w:ilvl w:val="0"/>
          <w:numId w:val="29"/>
        </w:numPr>
        <w:rPr>
          <w:lang w:val="en-GB"/>
        </w:rPr>
      </w:pPr>
      <w:r w:rsidRPr="00A845D0">
        <w:rPr>
          <w:lang w:val="en-GB"/>
        </w:rPr>
        <w:t>RAN1#116bis meeting</w:t>
      </w:r>
    </w:p>
    <w:tbl>
      <w:tblPr>
        <w:tblStyle w:val="TableGrid"/>
        <w:tblW w:w="0" w:type="auto"/>
        <w:tblLook w:val="04A0" w:firstRow="1" w:lastRow="0" w:firstColumn="1" w:lastColumn="0" w:noHBand="0" w:noVBand="1"/>
      </w:tblPr>
      <w:tblGrid>
        <w:gridCol w:w="9631"/>
      </w:tblGrid>
      <w:tr w:rsidR="007351FD" w:rsidRPr="00C461E2" w14:paraId="0EFDC46F" w14:textId="77777777">
        <w:tc>
          <w:tcPr>
            <w:tcW w:w="9962" w:type="dxa"/>
          </w:tcPr>
          <w:p w14:paraId="7012713F" w14:textId="77777777" w:rsidR="007351FD" w:rsidRPr="00C461E2" w:rsidRDefault="007351FD" w:rsidP="007351FD">
            <w:pPr>
              <w:spacing w:after="0"/>
              <w:rPr>
                <w:rFonts w:ascii="Times" w:eastAsia="Batang" w:hAnsi="Times"/>
                <w:b/>
                <w:bCs/>
                <w:highlight w:val="green"/>
                <w:lang w:eastAsia="x-none"/>
              </w:rPr>
            </w:pPr>
            <w:r w:rsidRPr="00FD595E">
              <w:rPr>
                <w:rFonts w:ascii="Times" w:eastAsia="Times New Roman" w:hAnsi="Times" w:cs="Times"/>
                <w:b/>
                <w:bCs/>
                <w:position w:val="-1"/>
                <w:sz w:val="18"/>
                <w:szCs w:val="18"/>
                <w:highlight w:val="green"/>
              </w:rPr>
              <w:t>Agreement</w:t>
            </w:r>
          </w:p>
          <w:p w14:paraId="0E8F7E3E" w14:textId="77777777" w:rsidR="007351FD" w:rsidRPr="00FD595E" w:rsidRDefault="007351FD" w:rsidP="007351FD">
            <w:pPr>
              <w:spacing w:after="0"/>
              <w:rPr>
                <w:rFonts w:eastAsia="Batang"/>
                <w:sz w:val="18"/>
                <w:szCs w:val="18"/>
                <w:lang w:eastAsia="x-none"/>
              </w:rPr>
            </w:pPr>
            <w:r w:rsidRPr="00FD595E">
              <w:rPr>
                <w:rFonts w:eastAsia="Batang"/>
                <w:sz w:val="18"/>
                <w:szCs w:val="18"/>
                <w:lang w:eastAsia="x-none"/>
              </w:rPr>
              <w:t xml:space="preserve">Adaptation mechanism(s) of SSB in time-domain is supported at least for one of the following </w:t>
            </w:r>
            <w:proofErr w:type="gramStart"/>
            <w:r w:rsidRPr="00FD595E">
              <w:rPr>
                <w:rFonts w:eastAsia="Batang"/>
                <w:sz w:val="18"/>
                <w:szCs w:val="18"/>
                <w:lang w:eastAsia="x-none"/>
              </w:rPr>
              <w:t>scenario</w:t>
            </w:r>
            <w:proofErr w:type="gramEnd"/>
            <w:r w:rsidRPr="00FD595E">
              <w:rPr>
                <w:rFonts w:eastAsia="Batang"/>
                <w:sz w:val="18"/>
                <w:szCs w:val="18"/>
                <w:lang w:eastAsia="x-none"/>
              </w:rPr>
              <w:t xml:space="preserve">(s): </w:t>
            </w:r>
          </w:p>
          <w:p w14:paraId="31EAC9D8" w14:textId="77777777" w:rsidR="007351FD" w:rsidRPr="00FD595E" w:rsidRDefault="007351FD" w:rsidP="007351FD">
            <w:pPr>
              <w:numPr>
                <w:ilvl w:val="0"/>
                <w:numId w:val="19"/>
              </w:numPr>
              <w:spacing w:after="0" w:line="259" w:lineRule="auto"/>
              <w:ind w:left="720"/>
              <w:rPr>
                <w:rFonts w:eastAsia="Batang"/>
                <w:sz w:val="18"/>
                <w:szCs w:val="18"/>
                <w:lang w:eastAsia="x-none"/>
              </w:rPr>
            </w:pPr>
            <w:r w:rsidRPr="00FD595E">
              <w:rPr>
                <w:rFonts w:eastAsia="Batang"/>
                <w:sz w:val="18"/>
                <w:szCs w:val="18"/>
                <w:lang w:eastAsia="x-none"/>
              </w:rPr>
              <w:t xml:space="preserve">For cell with both legacy UEs and Rel-19 NES-capable UEs </w:t>
            </w:r>
          </w:p>
          <w:p w14:paraId="174E3B96" w14:textId="77777777" w:rsidR="007351FD" w:rsidRPr="00FD595E" w:rsidRDefault="007351FD" w:rsidP="007351FD">
            <w:pPr>
              <w:numPr>
                <w:ilvl w:val="1"/>
                <w:numId w:val="19"/>
              </w:numPr>
              <w:spacing w:after="0" w:line="259" w:lineRule="auto"/>
              <w:ind w:left="1440"/>
              <w:rPr>
                <w:rFonts w:eastAsia="Batang"/>
                <w:sz w:val="18"/>
                <w:szCs w:val="18"/>
                <w:lang w:eastAsia="x-none"/>
              </w:rPr>
            </w:pPr>
            <w:r w:rsidRPr="00FD595E">
              <w:rPr>
                <w:rFonts w:eastAsia="Batang"/>
                <w:sz w:val="18"/>
                <w:szCs w:val="18"/>
                <w:lang w:eastAsia="x-none"/>
              </w:rPr>
              <w:t xml:space="preserve">Rel-19 NES-capable UE’s PCell (Connected mode) </w:t>
            </w:r>
          </w:p>
          <w:p w14:paraId="2F50B459" w14:textId="77777777" w:rsidR="007351FD" w:rsidRPr="00FD595E" w:rsidRDefault="007351FD" w:rsidP="007351FD">
            <w:pPr>
              <w:numPr>
                <w:ilvl w:val="2"/>
                <w:numId w:val="19"/>
              </w:numPr>
              <w:spacing w:after="0" w:line="259" w:lineRule="auto"/>
              <w:ind w:left="2160"/>
              <w:rPr>
                <w:rFonts w:eastAsia="Batang"/>
                <w:sz w:val="18"/>
                <w:szCs w:val="18"/>
                <w:lang w:eastAsia="x-none"/>
              </w:rPr>
            </w:pPr>
            <w:r w:rsidRPr="00FD595E">
              <w:rPr>
                <w:rFonts w:eastAsia="Batang"/>
                <w:sz w:val="18"/>
                <w:szCs w:val="18"/>
                <w:lang w:eastAsia="x-none"/>
              </w:rPr>
              <w:t>Study from the following options:</w:t>
            </w:r>
          </w:p>
          <w:p w14:paraId="46237F6A" w14:textId="77777777" w:rsidR="007351FD" w:rsidRPr="00FD595E" w:rsidRDefault="007351FD" w:rsidP="007351FD">
            <w:pPr>
              <w:numPr>
                <w:ilvl w:val="3"/>
                <w:numId w:val="19"/>
              </w:numPr>
              <w:spacing w:after="0" w:line="259" w:lineRule="auto"/>
              <w:ind w:left="2880"/>
              <w:rPr>
                <w:rFonts w:eastAsia="Batang"/>
                <w:sz w:val="18"/>
                <w:szCs w:val="18"/>
                <w:lang w:eastAsia="x-none"/>
              </w:rPr>
            </w:pPr>
            <w:r w:rsidRPr="00FD595E">
              <w:rPr>
                <w:rFonts w:eastAsia="Batang"/>
                <w:sz w:val="18"/>
                <w:szCs w:val="18"/>
                <w:lang w:eastAsia="x-none"/>
              </w:rPr>
              <w:t>Option A1: adaptation for CD-SSB</w:t>
            </w:r>
          </w:p>
          <w:p w14:paraId="5ADBF17A" w14:textId="77777777" w:rsidR="007351FD" w:rsidRPr="00FD595E" w:rsidRDefault="007351FD" w:rsidP="007351FD">
            <w:pPr>
              <w:numPr>
                <w:ilvl w:val="3"/>
                <w:numId w:val="19"/>
              </w:numPr>
              <w:spacing w:after="0" w:line="259" w:lineRule="auto"/>
              <w:ind w:left="2880"/>
              <w:rPr>
                <w:rFonts w:eastAsia="Batang"/>
                <w:sz w:val="18"/>
                <w:szCs w:val="18"/>
                <w:lang w:eastAsia="x-none"/>
              </w:rPr>
            </w:pPr>
            <w:r w:rsidRPr="00FD595E">
              <w:rPr>
                <w:rFonts w:eastAsia="Batang"/>
                <w:sz w:val="18"/>
                <w:szCs w:val="18"/>
                <w:lang w:eastAsia="x-none"/>
              </w:rPr>
              <w:t>Option A2: adaptation for SSB that is not CD-SSB</w:t>
            </w:r>
          </w:p>
          <w:p w14:paraId="42CBCBB5" w14:textId="77777777" w:rsidR="007351FD" w:rsidRPr="00FD595E" w:rsidRDefault="007351FD" w:rsidP="007351FD">
            <w:pPr>
              <w:numPr>
                <w:ilvl w:val="3"/>
                <w:numId w:val="19"/>
              </w:numPr>
              <w:spacing w:after="0" w:line="259" w:lineRule="auto"/>
              <w:ind w:left="2880"/>
              <w:rPr>
                <w:rFonts w:eastAsia="Batang"/>
                <w:sz w:val="18"/>
                <w:szCs w:val="18"/>
                <w:lang w:eastAsia="x-none"/>
              </w:rPr>
            </w:pPr>
            <w:r w:rsidRPr="00FD595E">
              <w:rPr>
                <w:rFonts w:eastAsia="Batang"/>
                <w:sz w:val="18"/>
                <w:szCs w:val="18"/>
                <w:lang w:eastAsia="x-none"/>
              </w:rPr>
              <w:t>Option A3: adaptation for SSB not on sync raster</w:t>
            </w:r>
          </w:p>
          <w:p w14:paraId="1F52B84C" w14:textId="77777777" w:rsidR="007351FD" w:rsidRPr="00FD595E" w:rsidRDefault="007351FD" w:rsidP="007351FD">
            <w:pPr>
              <w:numPr>
                <w:ilvl w:val="1"/>
                <w:numId w:val="19"/>
              </w:numPr>
              <w:spacing w:after="0" w:line="259" w:lineRule="auto"/>
              <w:ind w:left="1440"/>
              <w:rPr>
                <w:rFonts w:eastAsia="Batang"/>
                <w:sz w:val="18"/>
                <w:szCs w:val="18"/>
                <w:lang w:eastAsia="x-none"/>
              </w:rPr>
            </w:pPr>
            <w:r w:rsidRPr="00FD595E">
              <w:rPr>
                <w:rFonts w:eastAsia="Batang"/>
                <w:sz w:val="18"/>
                <w:szCs w:val="18"/>
                <w:lang w:eastAsia="x-none"/>
              </w:rPr>
              <w:t xml:space="preserve">Rel-19 NES-capable UE’s SCell </w:t>
            </w:r>
          </w:p>
          <w:p w14:paraId="4374F168" w14:textId="77777777" w:rsidR="007351FD" w:rsidRPr="00FD595E" w:rsidRDefault="007351FD" w:rsidP="007351FD">
            <w:pPr>
              <w:numPr>
                <w:ilvl w:val="2"/>
                <w:numId w:val="19"/>
              </w:numPr>
              <w:spacing w:after="0" w:line="259" w:lineRule="auto"/>
              <w:ind w:left="2160"/>
              <w:rPr>
                <w:rFonts w:eastAsia="Batang"/>
                <w:sz w:val="18"/>
                <w:szCs w:val="18"/>
                <w:lang w:eastAsia="x-none"/>
              </w:rPr>
            </w:pPr>
            <w:r w:rsidRPr="00FD595E">
              <w:rPr>
                <w:rFonts w:eastAsia="Batang"/>
                <w:sz w:val="18"/>
                <w:szCs w:val="18"/>
                <w:lang w:eastAsia="x-none"/>
              </w:rPr>
              <w:t>Study from the following options:</w:t>
            </w:r>
          </w:p>
          <w:p w14:paraId="785E0CA7" w14:textId="77777777" w:rsidR="007351FD" w:rsidRPr="00FD595E" w:rsidRDefault="007351FD" w:rsidP="007351FD">
            <w:pPr>
              <w:numPr>
                <w:ilvl w:val="3"/>
                <w:numId w:val="19"/>
              </w:numPr>
              <w:spacing w:after="0" w:line="259" w:lineRule="auto"/>
              <w:ind w:left="2880"/>
              <w:rPr>
                <w:rFonts w:eastAsia="Batang"/>
                <w:sz w:val="18"/>
                <w:szCs w:val="18"/>
                <w:lang w:eastAsia="x-none"/>
              </w:rPr>
            </w:pPr>
            <w:r w:rsidRPr="00FD595E">
              <w:rPr>
                <w:rFonts w:eastAsia="Batang"/>
                <w:sz w:val="18"/>
                <w:szCs w:val="18"/>
                <w:lang w:eastAsia="x-none"/>
              </w:rPr>
              <w:t>Option B1: adaptation for CD-SSB</w:t>
            </w:r>
          </w:p>
          <w:p w14:paraId="4B1855C2" w14:textId="77777777" w:rsidR="007351FD" w:rsidRPr="00FD595E" w:rsidRDefault="007351FD" w:rsidP="007351FD">
            <w:pPr>
              <w:numPr>
                <w:ilvl w:val="3"/>
                <w:numId w:val="19"/>
              </w:numPr>
              <w:spacing w:after="0" w:line="259" w:lineRule="auto"/>
              <w:ind w:left="2880"/>
              <w:rPr>
                <w:rFonts w:eastAsia="Batang"/>
                <w:sz w:val="18"/>
                <w:szCs w:val="18"/>
                <w:lang w:eastAsia="x-none"/>
              </w:rPr>
            </w:pPr>
            <w:r w:rsidRPr="00FD595E">
              <w:rPr>
                <w:rFonts w:eastAsia="Batang"/>
                <w:sz w:val="18"/>
                <w:szCs w:val="18"/>
                <w:lang w:eastAsia="x-none"/>
              </w:rPr>
              <w:t>Option B2: adaptation for SSB that is not CD-SSB</w:t>
            </w:r>
          </w:p>
          <w:p w14:paraId="7F9ECD50" w14:textId="77777777" w:rsidR="007351FD" w:rsidRPr="00FD595E" w:rsidRDefault="007351FD" w:rsidP="007351FD">
            <w:pPr>
              <w:numPr>
                <w:ilvl w:val="3"/>
                <w:numId w:val="19"/>
              </w:numPr>
              <w:spacing w:after="0" w:line="259" w:lineRule="auto"/>
              <w:ind w:left="2880"/>
              <w:rPr>
                <w:rFonts w:eastAsia="Batang"/>
                <w:sz w:val="18"/>
                <w:szCs w:val="18"/>
                <w:lang w:eastAsia="x-none"/>
              </w:rPr>
            </w:pPr>
            <w:r w:rsidRPr="00FD595E">
              <w:rPr>
                <w:rFonts w:eastAsia="Batang"/>
                <w:sz w:val="18"/>
                <w:szCs w:val="18"/>
                <w:lang w:eastAsia="x-none"/>
              </w:rPr>
              <w:t>Option B3: adaptation for SSB not on sync raster</w:t>
            </w:r>
          </w:p>
          <w:p w14:paraId="0A376E1A" w14:textId="77777777" w:rsidR="007351FD" w:rsidRPr="00FD595E" w:rsidRDefault="007351FD" w:rsidP="007351FD">
            <w:pPr>
              <w:numPr>
                <w:ilvl w:val="1"/>
                <w:numId w:val="19"/>
              </w:numPr>
              <w:spacing w:after="0" w:line="259" w:lineRule="auto"/>
              <w:ind w:left="1440"/>
              <w:rPr>
                <w:rFonts w:eastAsia="Batang"/>
                <w:sz w:val="18"/>
                <w:szCs w:val="18"/>
                <w:lang w:val="fr-FR" w:eastAsia="x-none"/>
              </w:rPr>
            </w:pPr>
            <w:r w:rsidRPr="00FD595E">
              <w:rPr>
                <w:rFonts w:eastAsia="Batang"/>
                <w:sz w:val="18"/>
                <w:szCs w:val="18"/>
                <w:lang w:val="fr-FR" w:eastAsia="x-none"/>
              </w:rPr>
              <w:t xml:space="preserve">FFS: Rel-19 NES-capable UE in </w:t>
            </w:r>
            <w:proofErr w:type="spellStart"/>
            <w:r w:rsidRPr="00FD595E">
              <w:rPr>
                <w:rFonts w:eastAsia="Batang"/>
                <w:sz w:val="18"/>
                <w:szCs w:val="18"/>
                <w:lang w:val="fr-FR" w:eastAsia="x-none"/>
              </w:rPr>
              <w:t>idle</w:t>
            </w:r>
            <w:proofErr w:type="spellEnd"/>
            <w:r w:rsidRPr="00FD595E">
              <w:rPr>
                <w:rFonts w:eastAsia="Batang"/>
                <w:sz w:val="18"/>
                <w:szCs w:val="18"/>
                <w:lang w:val="fr-FR" w:eastAsia="x-none"/>
              </w:rPr>
              <w:t>/inactive mode</w:t>
            </w:r>
          </w:p>
          <w:p w14:paraId="39ABCDAA" w14:textId="0B878EA0" w:rsidR="007351FD" w:rsidRPr="00C461E2" w:rsidRDefault="007351FD" w:rsidP="007351FD">
            <w:pPr>
              <w:suppressAutoHyphens/>
              <w:spacing w:after="0" w:line="259" w:lineRule="auto"/>
              <w:rPr>
                <w:rFonts w:ascii="Times" w:eastAsia="Batang" w:hAnsi="Times"/>
                <w:szCs w:val="24"/>
                <w:lang w:eastAsia="x-none"/>
              </w:rPr>
            </w:pPr>
            <w:r w:rsidRPr="00FD595E">
              <w:rPr>
                <w:rFonts w:eastAsia="Batang"/>
                <w:sz w:val="18"/>
                <w:szCs w:val="18"/>
                <w:lang w:eastAsia="x-none"/>
              </w:rPr>
              <w:t>Note: Impact to idle/inactive UEs shall be minimized</w:t>
            </w:r>
          </w:p>
        </w:tc>
      </w:tr>
    </w:tbl>
    <w:p w14:paraId="3865895A" w14:textId="77777777" w:rsidR="007351FD" w:rsidRPr="00C461E2" w:rsidRDefault="007351FD" w:rsidP="007351FD">
      <w:pPr>
        <w:jc w:val="both"/>
        <w:rPr>
          <w:sz w:val="22"/>
          <w:szCs w:val="22"/>
        </w:rPr>
      </w:pPr>
    </w:p>
    <w:p w14:paraId="173402FF" w14:textId="792EB560" w:rsidR="007351FD" w:rsidRPr="00C461E2" w:rsidRDefault="002F3AB7" w:rsidP="002F3AB7">
      <w:pPr>
        <w:jc w:val="both"/>
        <w:rPr>
          <w:sz w:val="22"/>
          <w:szCs w:val="22"/>
        </w:rPr>
      </w:pPr>
      <w:r w:rsidRPr="002F3AB7">
        <w:rPr>
          <w:sz w:val="22"/>
          <w:szCs w:val="22"/>
        </w:rPr>
        <w:lastRenderedPageBreak/>
        <w:t>As per the RAN1#117 agreement, Option 1 is supported, while using Option 2 to realize Option 1 is not precluded. At the same time, scenarios where Option 1 and/or Option 2 of SSB adaptation can be applied is an FFS discussion.</w:t>
      </w:r>
      <w:r w:rsidR="002D6D7C">
        <w:rPr>
          <w:sz w:val="22"/>
          <w:szCs w:val="22"/>
        </w:rPr>
        <w:t xml:space="preserve"> </w:t>
      </w:r>
      <w:r w:rsidRPr="002F3AB7">
        <w:rPr>
          <w:sz w:val="22"/>
          <w:szCs w:val="22"/>
        </w:rPr>
        <w:t>In our view</w:t>
      </w:r>
      <w:r w:rsidR="00741F68" w:rsidRPr="00741F68">
        <w:rPr>
          <w:sz w:val="22"/>
          <w:szCs w:val="22"/>
        </w:rPr>
        <w:t xml:space="preserve">, </w:t>
      </w:r>
      <w:r w:rsidR="0077404B">
        <w:rPr>
          <w:sz w:val="22"/>
          <w:szCs w:val="22"/>
        </w:rPr>
        <w:t>RAN1</w:t>
      </w:r>
      <w:r w:rsidR="00741F68" w:rsidRPr="00741F68">
        <w:rPr>
          <w:sz w:val="22"/>
          <w:szCs w:val="22"/>
        </w:rPr>
        <w:t xml:space="preserve"> should clarif</w:t>
      </w:r>
      <w:r w:rsidR="0077404B">
        <w:rPr>
          <w:sz w:val="22"/>
          <w:szCs w:val="22"/>
        </w:rPr>
        <w:t>y</w:t>
      </w:r>
      <w:r w:rsidR="00741F68" w:rsidRPr="00741F68">
        <w:rPr>
          <w:sz w:val="22"/>
          <w:szCs w:val="22"/>
        </w:rPr>
        <w:t xml:space="preserve"> first in which scenarios </w:t>
      </w:r>
      <w:r w:rsidRPr="002F3AB7">
        <w:rPr>
          <w:sz w:val="22"/>
          <w:szCs w:val="22"/>
        </w:rPr>
        <w:t xml:space="preserve">Option 1 or Option 2 are useful to </w:t>
      </w:r>
      <w:r w:rsidR="002C4004">
        <w:rPr>
          <w:sz w:val="22"/>
          <w:szCs w:val="22"/>
        </w:rPr>
        <w:t>achieve</w:t>
      </w:r>
      <w:r w:rsidRPr="002F3AB7">
        <w:rPr>
          <w:sz w:val="22"/>
          <w:szCs w:val="22"/>
        </w:rPr>
        <w:t xml:space="preserve"> network energy saving</w:t>
      </w:r>
      <w:r w:rsidR="00B45E50">
        <w:rPr>
          <w:sz w:val="22"/>
          <w:szCs w:val="22"/>
        </w:rPr>
        <w:t xml:space="preserve"> (NES)</w:t>
      </w:r>
      <w:r w:rsidRPr="002F3AB7">
        <w:rPr>
          <w:sz w:val="22"/>
          <w:szCs w:val="22"/>
        </w:rPr>
        <w:t>.</w:t>
      </w:r>
      <w:r w:rsidR="002D6D7C">
        <w:rPr>
          <w:sz w:val="22"/>
          <w:szCs w:val="22"/>
        </w:rPr>
        <w:t xml:space="preserve"> </w:t>
      </w:r>
      <w:r w:rsidR="0077404B" w:rsidRPr="0077404B">
        <w:rPr>
          <w:sz w:val="22"/>
          <w:szCs w:val="22"/>
        </w:rPr>
        <w:t>So far, it is still unclear what are the targeted scenarios for SSB adaptation in time domain.</w:t>
      </w:r>
      <w:r w:rsidR="0077404B">
        <w:rPr>
          <w:sz w:val="22"/>
          <w:szCs w:val="22"/>
        </w:rPr>
        <w:t xml:space="preserve"> </w:t>
      </w:r>
      <w:r w:rsidR="007351FD" w:rsidRPr="00C461E2">
        <w:rPr>
          <w:sz w:val="22"/>
          <w:szCs w:val="22"/>
        </w:rPr>
        <w:t>RAN</w:t>
      </w:r>
      <w:r w:rsidR="002D6D7C">
        <w:rPr>
          <w:sz w:val="22"/>
          <w:szCs w:val="22"/>
        </w:rPr>
        <w:t>2</w:t>
      </w:r>
      <w:r w:rsidR="007351FD" w:rsidRPr="00C461E2">
        <w:rPr>
          <w:sz w:val="22"/>
          <w:szCs w:val="22"/>
        </w:rPr>
        <w:t xml:space="preserve"> can </w:t>
      </w:r>
      <w:r w:rsidR="002D6D7C">
        <w:rPr>
          <w:sz w:val="22"/>
          <w:szCs w:val="22"/>
        </w:rPr>
        <w:t xml:space="preserve">then </w:t>
      </w:r>
      <w:r w:rsidR="007351FD" w:rsidRPr="00C461E2">
        <w:rPr>
          <w:sz w:val="22"/>
          <w:szCs w:val="22"/>
        </w:rPr>
        <w:t>provide input.</w:t>
      </w:r>
    </w:p>
    <w:p w14:paraId="59DCAED1" w14:textId="2FA614BD" w:rsidR="007351FD" w:rsidRPr="00C405FA" w:rsidRDefault="007351FD" w:rsidP="007351FD">
      <w:pPr>
        <w:jc w:val="both"/>
        <w:rPr>
          <w:sz w:val="22"/>
          <w:szCs w:val="22"/>
        </w:rPr>
      </w:pPr>
      <w:r w:rsidRPr="00C461E2">
        <w:rPr>
          <w:b/>
          <w:bCs/>
          <w:sz w:val="22"/>
          <w:szCs w:val="22"/>
        </w:rPr>
        <w:t xml:space="preserve">Proposal 1: </w:t>
      </w:r>
      <w:r w:rsidRPr="00C405FA">
        <w:rPr>
          <w:sz w:val="22"/>
          <w:szCs w:val="22"/>
        </w:rPr>
        <w:t xml:space="preserve">RAN2 to wait for RAN1 to </w:t>
      </w:r>
      <w:r w:rsidR="002D6D7C">
        <w:rPr>
          <w:sz w:val="22"/>
          <w:szCs w:val="22"/>
        </w:rPr>
        <w:t xml:space="preserve">clarify scenarios for </w:t>
      </w:r>
      <w:r w:rsidRPr="00C405FA">
        <w:rPr>
          <w:sz w:val="22"/>
          <w:szCs w:val="22"/>
        </w:rPr>
        <w:t xml:space="preserve">SSB </w:t>
      </w:r>
      <w:r w:rsidR="002D6D7C">
        <w:rPr>
          <w:sz w:val="22"/>
          <w:szCs w:val="22"/>
        </w:rPr>
        <w:t xml:space="preserve">adaptation </w:t>
      </w:r>
      <w:r w:rsidRPr="00C405FA">
        <w:rPr>
          <w:sz w:val="22"/>
          <w:szCs w:val="22"/>
        </w:rPr>
        <w:t xml:space="preserve">in the time domain </w:t>
      </w:r>
      <w:r w:rsidR="00754D6C">
        <w:rPr>
          <w:sz w:val="22"/>
          <w:szCs w:val="22"/>
        </w:rPr>
        <w:t xml:space="preserve">where </w:t>
      </w:r>
      <w:r w:rsidR="002D6D7C">
        <w:rPr>
          <w:sz w:val="22"/>
          <w:szCs w:val="22"/>
        </w:rPr>
        <w:t xml:space="preserve">Option 1 </w:t>
      </w:r>
      <w:r w:rsidR="0047518D">
        <w:rPr>
          <w:sz w:val="22"/>
          <w:szCs w:val="22"/>
        </w:rPr>
        <w:t xml:space="preserve">or </w:t>
      </w:r>
      <w:r w:rsidR="002D6D7C">
        <w:rPr>
          <w:sz w:val="22"/>
          <w:szCs w:val="22"/>
        </w:rPr>
        <w:t xml:space="preserve">Option 2 </w:t>
      </w:r>
      <w:r w:rsidR="00754D6C">
        <w:rPr>
          <w:sz w:val="22"/>
          <w:szCs w:val="22"/>
        </w:rPr>
        <w:t xml:space="preserve">can provide network energy saving </w:t>
      </w:r>
      <w:r w:rsidRPr="00C405FA">
        <w:rPr>
          <w:sz w:val="22"/>
          <w:szCs w:val="22"/>
        </w:rPr>
        <w:t>before providing input.</w:t>
      </w:r>
    </w:p>
    <w:p w14:paraId="71A78EBF" w14:textId="3235765B" w:rsidR="00FF3478" w:rsidRPr="00FF3478" w:rsidRDefault="00A12388" w:rsidP="00FF3478">
      <w:pPr>
        <w:tabs>
          <w:tab w:val="left" w:pos="284"/>
        </w:tabs>
        <w:jc w:val="both"/>
        <w:rPr>
          <w:sz w:val="22"/>
          <w:szCs w:val="22"/>
        </w:rPr>
      </w:pPr>
      <w:r>
        <w:rPr>
          <w:sz w:val="22"/>
          <w:szCs w:val="22"/>
        </w:rPr>
        <w:t>In any case, i</w:t>
      </w:r>
      <w:r w:rsidRPr="00FF3478">
        <w:rPr>
          <w:sz w:val="22"/>
          <w:szCs w:val="22"/>
        </w:rPr>
        <w:t xml:space="preserve">t is important to highlight </w:t>
      </w:r>
      <w:r w:rsidR="0025392A">
        <w:rPr>
          <w:sz w:val="22"/>
          <w:szCs w:val="22"/>
        </w:rPr>
        <w:t>w</w:t>
      </w:r>
      <w:r w:rsidR="0025392A" w:rsidRPr="0025392A">
        <w:rPr>
          <w:sz w:val="22"/>
          <w:szCs w:val="22"/>
        </w:rPr>
        <w:t xml:space="preserve">hen defining SSB adaptation scenarios </w:t>
      </w:r>
      <w:r w:rsidR="0025392A">
        <w:rPr>
          <w:sz w:val="22"/>
          <w:szCs w:val="22"/>
        </w:rPr>
        <w:t xml:space="preserve">and solutions </w:t>
      </w:r>
      <w:r w:rsidR="0025392A" w:rsidRPr="0025392A">
        <w:rPr>
          <w:sz w:val="22"/>
          <w:szCs w:val="22"/>
        </w:rPr>
        <w:t>for Rel-19 NES capable devices, it should be ensured that no negative impact is imposed to legacy UEs, as noted in the Rel-19 WID’s objective</w:t>
      </w:r>
      <w:r w:rsidR="00FF3478" w:rsidRPr="00FF3478">
        <w:rPr>
          <w:sz w:val="22"/>
          <w:szCs w:val="22"/>
        </w:rPr>
        <w:t>. Therefore, adaptation of SSB transmissions should not result in dropping of any SSBs that legacy UEs expect to receive.</w:t>
      </w:r>
    </w:p>
    <w:p w14:paraId="4471E07B" w14:textId="0C9908EE" w:rsidR="00AF17FF" w:rsidRPr="007D0206" w:rsidRDefault="00FF3478" w:rsidP="007D0206">
      <w:pPr>
        <w:tabs>
          <w:tab w:val="left" w:pos="284"/>
        </w:tabs>
        <w:jc w:val="both"/>
        <w:rPr>
          <w:sz w:val="22"/>
          <w:szCs w:val="22"/>
        </w:rPr>
      </w:pPr>
      <w:r w:rsidRPr="00C13020">
        <w:rPr>
          <w:b/>
          <w:bCs/>
          <w:sz w:val="22"/>
          <w:szCs w:val="22"/>
        </w:rPr>
        <w:t>Proposal</w:t>
      </w:r>
      <w:r w:rsidR="00E905D2" w:rsidRPr="00C13020">
        <w:rPr>
          <w:b/>
          <w:bCs/>
          <w:sz w:val="22"/>
          <w:szCs w:val="22"/>
        </w:rPr>
        <w:t xml:space="preserve"> </w:t>
      </w:r>
      <w:r w:rsidR="009E0498">
        <w:rPr>
          <w:b/>
          <w:bCs/>
          <w:sz w:val="22"/>
          <w:szCs w:val="22"/>
        </w:rPr>
        <w:t>2</w:t>
      </w:r>
      <w:r w:rsidRPr="00C13020">
        <w:rPr>
          <w:b/>
          <w:bCs/>
          <w:sz w:val="22"/>
          <w:szCs w:val="22"/>
        </w:rPr>
        <w:t>:</w:t>
      </w:r>
      <w:r w:rsidRPr="00FF3478">
        <w:rPr>
          <w:sz w:val="22"/>
          <w:szCs w:val="22"/>
        </w:rPr>
        <w:t xml:space="preserve"> </w:t>
      </w:r>
      <w:r w:rsidR="007D0206" w:rsidRPr="007D0206">
        <w:rPr>
          <w:sz w:val="22"/>
          <w:szCs w:val="22"/>
        </w:rPr>
        <w:t>Adaptation of SSB transmissions should not result in dropping of any SSBs that legacy UEs expect to receive</w:t>
      </w:r>
      <w:r w:rsidRPr="00FF3478">
        <w:rPr>
          <w:sz w:val="22"/>
          <w:szCs w:val="22"/>
        </w:rPr>
        <w:t xml:space="preserve">. </w:t>
      </w:r>
    </w:p>
    <w:p w14:paraId="45EE3766" w14:textId="77777777" w:rsidR="00E42DE9" w:rsidRDefault="00E42DE9" w:rsidP="00E42DE9">
      <w:pPr>
        <w:tabs>
          <w:tab w:val="left" w:pos="284"/>
        </w:tabs>
        <w:jc w:val="both"/>
        <w:rPr>
          <w:sz w:val="22"/>
          <w:szCs w:val="22"/>
        </w:rPr>
      </w:pPr>
      <w:r w:rsidRPr="65750D3B">
        <w:rPr>
          <w:sz w:val="22"/>
          <w:szCs w:val="22"/>
        </w:rPr>
        <w:t xml:space="preserve">If the cell is associated with a CD-SSB, </w:t>
      </w:r>
      <w:r>
        <w:rPr>
          <w:sz w:val="22"/>
          <w:szCs w:val="22"/>
        </w:rPr>
        <w:t>the cell can be used for c</w:t>
      </w:r>
      <w:r w:rsidRPr="006157EB">
        <w:rPr>
          <w:sz w:val="22"/>
          <w:szCs w:val="22"/>
        </w:rPr>
        <w:t>ell selection</w:t>
      </w:r>
      <w:r>
        <w:rPr>
          <w:sz w:val="22"/>
          <w:szCs w:val="22"/>
        </w:rPr>
        <w:t>/reselection procedures, e.g., to provide initial access to legacy UEs [TS 38.300</w:t>
      </w:r>
      <w:r>
        <w:rPr>
          <w:sz w:val="24"/>
          <w:szCs w:val="24"/>
        </w:rPr>
        <w:t>]</w:t>
      </w:r>
      <w:r>
        <w:rPr>
          <w:sz w:val="22"/>
          <w:szCs w:val="22"/>
        </w:rPr>
        <w:t>. In that case, there is a limitation from the specifications [</w:t>
      </w:r>
      <w:r w:rsidRPr="00B05CC4">
        <w:rPr>
          <w:sz w:val="22"/>
          <w:szCs w:val="22"/>
        </w:rPr>
        <w:t>TS 38.213</w:t>
      </w:r>
      <w:r>
        <w:rPr>
          <w:sz w:val="22"/>
          <w:szCs w:val="22"/>
        </w:rPr>
        <w:t>] that</w:t>
      </w:r>
      <w:r w:rsidRPr="00B05CC4">
        <w:rPr>
          <w:sz w:val="22"/>
          <w:szCs w:val="22"/>
        </w:rPr>
        <w:t>, for initial cell selection, a legacy UE may assume that half frames with SS/PBCH blocks occur with a periodicity of 2 frames, i.e., 20ms.</w:t>
      </w:r>
      <w:r>
        <w:rPr>
          <w:sz w:val="22"/>
          <w:szCs w:val="22"/>
        </w:rPr>
        <w:t xml:space="preserve"> A cell with this setting is typically a coverage cell</w:t>
      </w:r>
      <w:r w:rsidRPr="5D07AFFB">
        <w:rPr>
          <w:sz w:val="22"/>
          <w:szCs w:val="22"/>
        </w:rPr>
        <w:t>,</w:t>
      </w:r>
      <w:r>
        <w:rPr>
          <w:sz w:val="22"/>
          <w:szCs w:val="22"/>
        </w:rPr>
        <w:t xml:space="preserve"> which may also be used as a PCell for UEs in RRC connected state. Adapting the SSB periodicity in such a cell </w:t>
      </w:r>
      <w:r w:rsidRPr="50544951">
        <w:rPr>
          <w:sz w:val="22"/>
          <w:szCs w:val="22"/>
        </w:rPr>
        <w:t xml:space="preserve">to a value higher than 20ms </w:t>
      </w:r>
      <w:r>
        <w:rPr>
          <w:sz w:val="22"/>
          <w:szCs w:val="22"/>
        </w:rPr>
        <w:t xml:space="preserve">for NES purposes </w:t>
      </w:r>
      <w:r w:rsidRPr="50544951">
        <w:rPr>
          <w:sz w:val="22"/>
          <w:szCs w:val="22"/>
        </w:rPr>
        <w:t xml:space="preserve">may have a negative impact to </w:t>
      </w:r>
      <w:r>
        <w:rPr>
          <w:sz w:val="22"/>
          <w:szCs w:val="22"/>
        </w:rPr>
        <w:t>legacy UEs</w:t>
      </w:r>
      <w:r w:rsidRPr="50544951">
        <w:rPr>
          <w:sz w:val="22"/>
          <w:szCs w:val="22"/>
        </w:rPr>
        <w:t xml:space="preserve"> attempting to perform initial cell selection, as the</w:t>
      </w:r>
      <w:r>
        <w:rPr>
          <w:sz w:val="22"/>
          <w:szCs w:val="22"/>
        </w:rPr>
        <w:t>y</w:t>
      </w:r>
      <w:r w:rsidRPr="50544951">
        <w:rPr>
          <w:sz w:val="22"/>
          <w:szCs w:val="22"/>
        </w:rPr>
        <w:t xml:space="preserve"> may not be able to find the cell. </w:t>
      </w:r>
      <w:r w:rsidRPr="2D21A0AA">
        <w:rPr>
          <w:sz w:val="22"/>
          <w:szCs w:val="22"/>
        </w:rPr>
        <w:t>Therefore,</w:t>
      </w:r>
      <w:r w:rsidRPr="50544951">
        <w:rPr>
          <w:sz w:val="22"/>
          <w:szCs w:val="22"/>
        </w:rPr>
        <w:t xml:space="preserve"> </w:t>
      </w:r>
      <w:r w:rsidRPr="0010428A">
        <w:rPr>
          <w:sz w:val="22"/>
          <w:szCs w:val="22"/>
        </w:rPr>
        <w:t xml:space="preserve">the SSB periodicity in a cell providing initial access </w:t>
      </w:r>
      <w:r>
        <w:rPr>
          <w:sz w:val="22"/>
          <w:szCs w:val="22"/>
        </w:rPr>
        <w:t xml:space="preserve">to </w:t>
      </w:r>
      <w:r w:rsidRPr="0010428A">
        <w:rPr>
          <w:sz w:val="22"/>
          <w:szCs w:val="22"/>
        </w:rPr>
        <w:t xml:space="preserve">legacy UEs </w:t>
      </w:r>
      <w:r>
        <w:rPr>
          <w:sz w:val="22"/>
          <w:szCs w:val="22"/>
        </w:rPr>
        <w:t>can</w:t>
      </w:r>
      <w:r w:rsidRPr="0010428A">
        <w:rPr>
          <w:sz w:val="22"/>
          <w:szCs w:val="22"/>
        </w:rPr>
        <w:t xml:space="preserve"> be </w:t>
      </w:r>
      <w:r w:rsidRPr="00BA5E9F">
        <w:rPr>
          <w:sz w:val="22"/>
          <w:szCs w:val="22"/>
        </w:rPr>
        <w:t xml:space="preserve">set up </w:t>
      </w:r>
      <w:r w:rsidRPr="0010428A">
        <w:rPr>
          <w:sz w:val="22"/>
          <w:szCs w:val="22"/>
        </w:rPr>
        <w:t xml:space="preserve">20ms to avoid the impact on legacy UEs, </w:t>
      </w:r>
      <w:r>
        <w:rPr>
          <w:sz w:val="22"/>
          <w:szCs w:val="22"/>
        </w:rPr>
        <w:t>but this may reduce the energy saving potential.</w:t>
      </w:r>
    </w:p>
    <w:p w14:paraId="48B7D5C6" w14:textId="77777777" w:rsidR="002213EE" w:rsidRPr="002E3631" w:rsidRDefault="00E42DE9" w:rsidP="00E42DE9">
      <w:pPr>
        <w:rPr>
          <w:sz w:val="22"/>
          <w:szCs w:val="22"/>
        </w:rPr>
      </w:pPr>
      <w:r>
        <w:rPr>
          <w:b/>
          <w:bCs/>
          <w:sz w:val="22"/>
          <w:szCs w:val="22"/>
        </w:rPr>
        <w:t xml:space="preserve">Observation 1: </w:t>
      </w:r>
      <w:r w:rsidRPr="002E3631">
        <w:rPr>
          <w:sz w:val="22"/>
          <w:szCs w:val="22"/>
        </w:rPr>
        <w:t>The SSB periodicity of a cell providing initial access to legacy UEs can be set up to 20ms to avoid the impact on legacy UEs, but this may reduce the energy saving potential.</w:t>
      </w:r>
    </w:p>
    <w:p w14:paraId="23F78439" w14:textId="223A5E1B" w:rsidR="00135D38" w:rsidRDefault="00135D38" w:rsidP="00135D38">
      <w:pPr>
        <w:tabs>
          <w:tab w:val="left" w:pos="284"/>
        </w:tabs>
        <w:spacing w:before="180"/>
        <w:jc w:val="both"/>
        <w:rPr>
          <w:sz w:val="22"/>
          <w:szCs w:val="22"/>
        </w:rPr>
      </w:pPr>
      <w:r>
        <w:rPr>
          <w:sz w:val="22"/>
          <w:szCs w:val="22"/>
        </w:rPr>
        <w:t>To enable larger NES gains</w:t>
      </w:r>
      <w:r w:rsidRPr="50544951">
        <w:rPr>
          <w:sz w:val="22"/>
          <w:szCs w:val="22"/>
        </w:rPr>
        <w:t xml:space="preserve">, Rel-19 NES capable UEs could be </w:t>
      </w:r>
      <w:r>
        <w:rPr>
          <w:sz w:val="22"/>
          <w:szCs w:val="22"/>
        </w:rPr>
        <w:t>made capable</w:t>
      </w:r>
      <w:r w:rsidRPr="50544951">
        <w:rPr>
          <w:sz w:val="22"/>
          <w:szCs w:val="22"/>
        </w:rPr>
        <w:t xml:space="preserve"> to access </w:t>
      </w:r>
      <w:r>
        <w:rPr>
          <w:sz w:val="22"/>
          <w:szCs w:val="22"/>
        </w:rPr>
        <w:t>a</w:t>
      </w:r>
      <w:r w:rsidRPr="50544951">
        <w:rPr>
          <w:sz w:val="22"/>
          <w:szCs w:val="22"/>
        </w:rPr>
        <w:t xml:space="preserve"> cell</w:t>
      </w:r>
      <w:r>
        <w:rPr>
          <w:sz w:val="22"/>
          <w:szCs w:val="22"/>
        </w:rPr>
        <w:t xml:space="preserve"> providing initial access that uses a relaxed SSB periodicity of e.g., 40ms</w:t>
      </w:r>
      <w:r w:rsidRPr="50544951">
        <w:rPr>
          <w:sz w:val="22"/>
          <w:szCs w:val="22"/>
        </w:rPr>
        <w:t>. From our point of view, a</w:t>
      </w:r>
      <w:r>
        <w:rPr>
          <w:sz w:val="22"/>
          <w:szCs w:val="22"/>
        </w:rPr>
        <w:t xml:space="preserve"> discussion on the implications of this </w:t>
      </w:r>
      <w:r w:rsidRPr="50544951">
        <w:rPr>
          <w:sz w:val="22"/>
          <w:szCs w:val="22"/>
        </w:rPr>
        <w:t xml:space="preserve">approach </w:t>
      </w:r>
      <w:r>
        <w:rPr>
          <w:sz w:val="22"/>
          <w:szCs w:val="22"/>
        </w:rPr>
        <w:t>can be considered</w:t>
      </w:r>
      <w:r w:rsidRPr="50544951">
        <w:rPr>
          <w:sz w:val="22"/>
          <w:szCs w:val="22"/>
        </w:rPr>
        <w:t>.</w:t>
      </w:r>
    </w:p>
    <w:p w14:paraId="6998497C" w14:textId="77777777" w:rsidR="00135D38" w:rsidRDefault="00135D38" w:rsidP="00135D38">
      <w:pPr>
        <w:tabs>
          <w:tab w:val="left" w:pos="284"/>
        </w:tabs>
        <w:jc w:val="both"/>
        <w:rPr>
          <w:sz w:val="22"/>
          <w:szCs w:val="22"/>
        </w:rPr>
      </w:pPr>
      <w:r w:rsidRPr="00B1616B">
        <w:rPr>
          <w:b/>
          <w:bCs/>
          <w:sz w:val="22"/>
          <w:szCs w:val="22"/>
        </w:rPr>
        <w:t>Proposal</w:t>
      </w:r>
      <w:r>
        <w:rPr>
          <w:b/>
          <w:bCs/>
          <w:sz w:val="22"/>
          <w:szCs w:val="22"/>
        </w:rPr>
        <w:t xml:space="preserve"> 3</w:t>
      </w:r>
      <w:r w:rsidRPr="00B1616B">
        <w:rPr>
          <w:b/>
          <w:bCs/>
          <w:sz w:val="22"/>
          <w:szCs w:val="22"/>
        </w:rPr>
        <w:t xml:space="preserve">: </w:t>
      </w:r>
      <w:r w:rsidRPr="002E3631">
        <w:rPr>
          <w:sz w:val="22"/>
          <w:szCs w:val="22"/>
        </w:rPr>
        <w:t>Discuss implications of relaxing the default SSB periodicity value of 20ms for the initial access procedure of Rel.19 NES-capable UEs.</w:t>
      </w:r>
    </w:p>
    <w:p w14:paraId="3D9BA595" w14:textId="5A31E5D1" w:rsidR="00D60FFC" w:rsidRPr="00C461E2" w:rsidRDefault="00CE643D" w:rsidP="00D60FFC">
      <w:pPr>
        <w:pStyle w:val="Heading1"/>
        <w:rPr>
          <w:lang w:val="en-US"/>
        </w:rPr>
      </w:pPr>
      <w:r w:rsidRPr="00C461E2">
        <w:rPr>
          <w:lang w:val="en-US"/>
        </w:rPr>
        <w:t>3</w:t>
      </w:r>
      <w:r w:rsidRPr="00C461E2">
        <w:rPr>
          <w:lang w:val="en-US"/>
        </w:rPr>
        <w:tab/>
      </w:r>
      <w:r w:rsidRPr="00C461E2">
        <w:rPr>
          <w:lang w:val="en-US"/>
        </w:rPr>
        <w:tab/>
        <w:t>PRACH Adaptation in time domain</w:t>
      </w:r>
    </w:p>
    <w:p w14:paraId="223C98E8" w14:textId="77777777" w:rsidR="00C362BC" w:rsidRDefault="00C362BC" w:rsidP="00C362BC">
      <w:pPr>
        <w:spacing w:after="0"/>
        <w:jc w:val="both"/>
        <w:rPr>
          <w:sz w:val="22"/>
          <w:szCs w:val="22"/>
        </w:rPr>
      </w:pPr>
      <w:r>
        <w:rPr>
          <w:sz w:val="22"/>
          <w:szCs w:val="22"/>
        </w:rPr>
        <w:t>As per the latest RAN1#117 meeting outcome, it was agreed to</w:t>
      </w:r>
      <w:r w:rsidRPr="00C50D45">
        <w:rPr>
          <w:sz w:val="22"/>
          <w:szCs w:val="22"/>
        </w:rPr>
        <w:t xml:space="preserve"> support at least the </w:t>
      </w:r>
      <w:r>
        <w:rPr>
          <w:sz w:val="22"/>
          <w:szCs w:val="22"/>
        </w:rPr>
        <w:t xml:space="preserve">PRACH </w:t>
      </w:r>
      <w:r w:rsidRPr="00C50D45">
        <w:rPr>
          <w:sz w:val="22"/>
          <w:szCs w:val="22"/>
        </w:rPr>
        <w:t>adaptation based on additional PRACH resources for NES-capable UEs in addition to PRACH resources for legacy UEs (if any)</w:t>
      </w:r>
      <w:r>
        <w:rPr>
          <w:sz w:val="22"/>
          <w:szCs w:val="22"/>
        </w:rPr>
        <w:t xml:space="preserve">. It was also noted that </w:t>
      </w:r>
      <w:r w:rsidRPr="00C50D45">
        <w:rPr>
          <w:sz w:val="22"/>
          <w:szCs w:val="22"/>
        </w:rPr>
        <w:t xml:space="preserve">NES-capable UEs can use both additional PRACH resources and PRACH resources </w:t>
      </w:r>
      <w:r>
        <w:rPr>
          <w:sz w:val="22"/>
          <w:szCs w:val="22"/>
        </w:rPr>
        <w:t xml:space="preserve">configured </w:t>
      </w:r>
      <w:r w:rsidRPr="00C50D45">
        <w:rPr>
          <w:sz w:val="22"/>
          <w:szCs w:val="22"/>
        </w:rPr>
        <w:t>for legacy UEs</w:t>
      </w:r>
      <w:r>
        <w:rPr>
          <w:sz w:val="22"/>
          <w:szCs w:val="22"/>
        </w:rPr>
        <w:t xml:space="preserve">. </w:t>
      </w:r>
    </w:p>
    <w:p w14:paraId="09C2BF92" w14:textId="77777777" w:rsidR="00C362BC" w:rsidRDefault="00C362BC" w:rsidP="00C362BC">
      <w:pPr>
        <w:spacing w:after="0"/>
        <w:jc w:val="both"/>
        <w:rPr>
          <w:sz w:val="22"/>
          <w:szCs w:val="22"/>
          <w:lang w:eastAsia="x-none"/>
        </w:rPr>
      </w:pPr>
    </w:p>
    <w:p w14:paraId="0F3BFBDD" w14:textId="77777777" w:rsidR="00C362BC" w:rsidRPr="00881FAA" w:rsidRDefault="00C362BC" w:rsidP="00C362BC">
      <w:pPr>
        <w:jc w:val="both"/>
        <w:rPr>
          <w:sz w:val="22"/>
          <w:szCs w:val="22"/>
        </w:rPr>
      </w:pPr>
      <w:r w:rsidRPr="00881FAA">
        <w:rPr>
          <w:sz w:val="22"/>
          <w:szCs w:val="22"/>
        </w:rPr>
        <w:t xml:space="preserve">In our view, </w:t>
      </w:r>
      <w:r>
        <w:rPr>
          <w:sz w:val="22"/>
          <w:szCs w:val="22"/>
        </w:rPr>
        <w:t xml:space="preserve">the agreed </w:t>
      </w:r>
      <w:r w:rsidRPr="00881FAA">
        <w:rPr>
          <w:sz w:val="22"/>
          <w:szCs w:val="22"/>
        </w:rPr>
        <w:t xml:space="preserve">PRACH adaptation </w:t>
      </w:r>
      <w:r>
        <w:rPr>
          <w:sz w:val="22"/>
          <w:szCs w:val="22"/>
        </w:rPr>
        <w:t xml:space="preserve">based on additional PRACH resources </w:t>
      </w:r>
      <w:r w:rsidRPr="00881FAA">
        <w:rPr>
          <w:sz w:val="22"/>
          <w:szCs w:val="22"/>
        </w:rPr>
        <w:t>should be applied for both 4-step RACH and 2-step RACH (if configured</w:t>
      </w:r>
      <w:r>
        <w:rPr>
          <w:sz w:val="22"/>
          <w:szCs w:val="22"/>
        </w:rPr>
        <w:t xml:space="preserve"> in the cell</w:t>
      </w:r>
      <w:r w:rsidRPr="00881FAA">
        <w:rPr>
          <w:sz w:val="22"/>
          <w:szCs w:val="22"/>
        </w:rPr>
        <w:t xml:space="preserve">). </w:t>
      </w:r>
      <w:r>
        <w:rPr>
          <w:sz w:val="22"/>
          <w:szCs w:val="22"/>
        </w:rPr>
        <w:t xml:space="preserve">Particularly for 2-step RACH, further clarifications and considerations would be needed. For instance, it is not clear whether additional PUSCH </w:t>
      </w:r>
      <w:r w:rsidRPr="00C50D45">
        <w:rPr>
          <w:sz w:val="22"/>
          <w:szCs w:val="22"/>
        </w:rPr>
        <w:t xml:space="preserve">resources for NES-capable </w:t>
      </w:r>
      <w:r>
        <w:rPr>
          <w:sz w:val="22"/>
          <w:szCs w:val="22"/>
        </w:rPr>
        <w:t xml:space="preserve">shall be considered for </w:t>
      </w:r>
      <w:proofErr w:type="spellStart"/>
      <w:r>
        <w:rPr>
          <w:sz w:val="22"/>
          <w:szCs w:val="22"/>
        </w:rPr>
        <w:t>MsgA</w:t>
      </w:r>
      <w:proofErr w:type="spellEnd"/>
      <w:r>
        <w:rPr>
          <w:sz w:val="22"/>
          <w:szCs w:val="22"/>
        </w:rPr>
        <w:t xml:space="preserve"> payload transmission or the same PUSCH as configured for legacy UEs shall be considered.</w:t>
      </w:r>
    </w:p>
    <w:p w14:paraId="0B3A0D21" w14:textId="1E8C4323" w:rsidR="00C362BC" w:rsidRPr="00B74170" w:rsidRDefault="00C362BC" w:rsidP="00C362BC">
      <w:pPr>
        <w:jc w:val="both"/>
        <w:rPr>
          <w:b/>
          <w:bCs/>
          <w:sz w:val="22"/>
          <w:szCs w:val="22"/>
        </w:rPr>
      </w:pPr>
      <w:r w:rsidRPr="00B74170">
        <w:rPr>
          <w:b/>
          <w:bCs/>
          <w:sz w:val="22"/>
          <w:szCs w:val="22"/>
        </w:rPr>
        <w:t>Proposal</w:t>
      </w:r>
      <w:r w:rsidR="0045434A">
        <w:rPr>
          <w:b/>
          <w:bCs/>
          <w:sz w:val="22"/>
          <w:szCs w:val="22"/>
        </w:rPr>
        <w:t xml:space="preserve"> </w:t>
      </w:r>
      <w:r w:rsidR="00B9720E">
        <w:rPr>
          <w:b/>
          <w:bCs/>
          <w:sz w:val="22"/>
          <w:szCs w:val="22"/>
        </w:rPr>
        <w:t>4</w:t>
      </w:r>
      <w:r w:rsidRPr="00B74170">
        <w:rPr>
          <w:b/>
          <w:bCs/>
          <w:sz w:val="22"/>
          <w:szCs w:val="22"/>
        </w:rPr>
        <w:t xml:space="preserve">: </w:t>
      </w:r>
      <w:r w:rsidRPr="00B9720E">
        <w:rPr>
          <w:sz w:val="22"/>
          <w:szCs w:val="22"/>
        </w:rPr>
        <w:t xml:space="preserve">Clarify whether further considerations are needed for the 2-step PRACH adaptation e.g., the resource used by the UE to transmit </w:t>
      </w:r>
      <w:proofErr w:type="spellStart"/>
      <w:r w:rsidRPr="00B9720E">
        <w:rPr>
          <w:sz w:val="22"/>
          <w:szCs w:val="22"/>
        </w:rPr>
        <w:t>MsgA</w:t>
      </w:r>
      <w:proofErr w:type="spellEnd"/>
      <w:r w:rsidRPr="00B74170">
        <w:rPr>
          <w:b/>
          <w:bCs/>
          <w:sz w:val="22"/>
          <w:szCs w:val="22"/>
        </w:rPr>
        <w:t xml:space="preserve">. </w:t>
      </w:r>
    </w:p>
    <w:p w14:paraId="4D16552C" w14:textId="77777777" w:rsidR="00C362BC" w:rsidRPr="00B74170" w:rsidRDefault="00C362BC" w:rsidP="00C362BC">
      <w:pPr>
        <w:spacing w:after="60"/>
        <w:jc w:val="both"/>
        <w:rPr>
          <w:sz w:val="22"/>
          <w:szCs w:val="22"/>
        </w:rPr>
      </w:pPr>
      <w:r w:rsidRPr="00B74170">
        <w:rPr>
          <w:sz w:val="22"/>
          <w:szCs w:val="22"/>
        </w:rPr>
        <w:t xml:space="preserve">There are two types of PRACH that can be configured: </w:t>
      </w:r>
    </w:p>
    <w:p w14:paraId="6CCE5CF0" w14:textId="77777777" w:rsidR="00C362BC" w:rsidRPr="00B74170" w:rsidRDefault="00C362BC" w:rsidP="00C362BC">
      <w:pPr>
        <w:pStyle w:val="ListParagraph"/>
        <w:numPr>
          <w:ilvl w:val="0"/>
          <w:numId w:val="22"/>
        </w:numPr>
        <w:overflowPunct w:val="0"/>
        <w:autoSpaceDE w:val="0"/>
        <w:autoSpaceDN w:val="0"/>
        <w:adjustRightInd w:val="0"/>
        <w:jc w:val="both"/>
        <w:textAlignment w:val="baseline"/>
        <w:rPr>
          <w:sz w:val="22"/>
          <w:szCs w:val="22"/>
        </w:rPr>
      </w:pPr>
      <w:r w:rsidRPr="00B74170">
        <w:rPr>
          <w:sz w:val="22"/>
          <w:szCs w:val="22"/>
        </w:rPr>
        <w:t>PRACH associated with CBRA configured by cell-specific signaling</w:t>
      </w:r>
      <w:r>
        <w:rPr>
          <w:sz w:val="22"/>
          <w:szCs w:val="22"/>
        </w:rPr>
        <w:t>.</w:t>
      </w:r>
      <w:r w:rsidRPr="00B74170">
        <w:rPr>
          <w:sz w:val="22"/>
          <w:szCs w:val="22"/>
        </w:rPr>
        <w:t xml:space="preserve"> </w:t>
      </w:r>
    </w:p>
    <w:p w14:paraId="43D048DE" w14:textId="77777777" w:rsidR="00C362BC" w:rsidRPr="00B74170" w:rsidRDefault="00C362BC" w:rsidP="00C362BC">
      <w:pPr>
        <w:pStyle w:val="ListParagraph"/>
        <w:numPr>
          <w:ilvl w:val="0"/>
          <w:numId w:val="22"/>
        </w:numPr>
        <w:overflowPunct w:val="0"/>
        <w:autoSpaceDE w:val="0"/>
        <w:autoSpaceDN w:val="0"/>
        <w:adjustRightInd w:val="0"/>
        <w:jc w:val="both"/>
        <w:textAlignment w:val="baseline"/>
        <w:rPr>
          <w:sz w:val="22"/>
          <w:szCs w:val="22"/>
        </w:rPr>
      </w:pPr>
      <w:r w:rsidRPr="00B74170">
        <w:rPr>
          <w:sz w:val="22"/>
          <w:szCs w:val="22"/>
        </w:rPr>
        <w:t>PRACH associated with CFRA configured by UE-dedicated signaling</w:t>
      </w:r>
      <w:r>
        <w:rPr>
          <w:sz w:val="22"/>
          <w:szCs w:val="22"/>
        </w:rPr>
        <w:t>.</w:t>
      </w:r>
    </w:p>
    <w:p w14:paraId="288832DC" w14:textId="77777777" w:rsidR="00C362BC" w:rsidRPr="00B74170" w:rsidRDefault="00C362BC" w:rsidP="00C362BC">
      <w:pPr>
        <w:jc w:val="both"/>
        <w:rPr>
          <w:sz w:val="22"/>
          <w:szCs w:val="22"/>
        </w:rPr>
      </w:pPr>
      <w:r w:rsidRPr="00B74170">
        <w:rPr>
          <w:sz w:val="22"/>
          <w:szCs w:val="22"/>
        </w:rPr>
        <w:lastRenderedPageBreak/>
        <w:t xml:space="preserve">The agreed PRACH adaptation shall at least target CBRA procedures. PRACH adaptation associated with CFRA procedures </w:t>
      </w:r>
      <w:r>
        <w:rPr>
          <w:sz w:val="22"/>
          <w:szCs w:val="22"/>
        </w:rPr>
        <w:t xml:space="preserve">shall be studied </w:t>
      </w:r>
      <w:r w:rsidRPr="00B74170">
        <w:rPr>
          <w:sz w:val="22"/>
          <w:szCs w:val="22"/>
        </w:rPr>
        <w:t>as well, if time allows.</w:t>
      </w:r>
    </w:p>
    <w:p w14:paraId="0C13DCF8" w14:textId="4E62B964" w:rsidR="00C362BC" w:rsidRDefault="00C362BC" w:rsidP="00C362BC">
      <w:pPr>
        <w:jc w:val="both"/>
        <w:rPr>
          <w:b/>
          <w:sz w:val="22"/>
          <w:szCs w:val="22"/>
        </w:rPr>
      </w:pPr>
      <w:r w:rsidRPr="00B74170">
        <w:rPr>
          <w:b/>
          <w:bCs/>
          <w:sz w:val="22"/>
          <w:szCs w:val="22"/>
        </w:rPr>
        <w:t>Proposal</w:t>
      </w:r>
      <w:r w:rsidR="00B9720E">
        <w:rPr>
          <w:b/>
          <w:bCs/>
          <w:sz w:val="22"/>
          <w:szCs w:val="22"/>
        </w:rPr>
        <w:t xml:space="preserve"> </w:t>
      </w:r>
      <w:r w:rsidR="0045434A">
        <w:rPr>
          <w:b/>
          <w:bCs/>
          <w:sz w:val="22"/>
          <w:szCs w:val="22"/>
        </w:rPr>
        <w:t>5</w:t>
      </w:r>
      <w:r w:rsidRPr="00B74170">
        <w:rPr>
          <w:b/>
          <w:bCs/>
          <w:sz w:val="22"/>
          <w:szCs w:val="22"/>
        </w:rPr>
        <w:t>:</w:t>
      </w:r>
      <w:r w:rsidRPr="00B74170">
        <w:rPr>
          <w:b/>
          <w:sz w:val="22"/>
          <w:szCs w:val="22"/>
        </w:rPr>
        <w:t xml:space="preserve"> </w:t>
      </w:r>
      <w:r w:rsidRPr="00B9720E">
        <w:rPr>
          <w:sz w:val="22"/>
          <w:szCs w:val="22"/>
        </w:rPr>
        <w:t>Study at least PRACH adaptation solution(s) that are applied to CBRA. PRACH adaptation applied to CFRA shall also be investigated, if time allows, however no CFRA-specific PRACH adaptation solutions should be considered</w:t>
      </w:r>
      <w:r>
        <w:rPr>
          <w:b/>
          <w:sz w:val="22"/>
          <w:szCs w:val="22"/>
        </w:rPr>
        <w:t>.</w:t>
      </w:r>
    </w:p>
    <w:p w14:paraId="7110CEA9" w14:textId="77777777" w:rsidR="00C362BC" w:rsidRPr="005904E0" w:rsidRDefault="00C362BC" w:rsidP="00C362BC">
      <w:pPr>
        <w:jc w:val="both"/>
        <w:rPr>
          <w:b/>
          <w:bCs/>
          <w:sz w:val="22"/>
          <w:szCs w:val="22"/>
        </w:rPr>
      </w:pPr>
      <w:r w:rsidRPr="005904E0">
        <w:rPr>
          <w:sz w:val="22"/>
          <w:szCs w:val="22"/>
        </w:rPr>
        <w:t>The likelihood that cells are designed to only serve R19 UEs is low; thus, the PRACH adaptation should be applicable to cells that support both legacy and Rel-19 (NES-capable) UEs.</w:t>
      </w:r>
      <w:r>
        <w:rPr>
          <w:sz w:val="22"/>
          <w:szCs w:val="22"/>
        </w:rPr>
        <w:t xml:space="preserve"> Moreover, in order to avoid any impact on legacy UEs as noted in the WID, and to enable the initial access for all UEs before being able to identify whether they are legacy or NES-capable UEs, the cell should support both legacy and NES-capable UEs.</w:t>
      </w:r>
    </w:p>
    <w:p w14:paraId="2CD52EEB" w14:textId="7B127036" w:rsidR="00C362BC" w:rsidRPr="00B9720E" w:rsidRDefault="00C362BC" w:rsidP="00C362BC">
      <w:pPr>
        <w:jc w:val="both"/>
        <w:rPr>
          <w:sz w:val="22"/>
          <w:szCs w:val="22"/>
        </w:rPr>
      </w:pPr>
      <w:r w:rsidRPr="00900738">
        <w:rPr>
          <w:b/>
          <w:sz w:val="22"/>
          <w:szCs w:val="22"/>
        </w:rPr>
        <w:t>Proposal</w:t>
      </w:r>
      <w:r w:rsidR="0045434A">
        <w:rPr>
          <w:b/>
          <w:sz w:val="22"/>
          <w:szCs w:val="22"/>
        </w:rPr>
        <w:t xml:space="preserve"> </w:t>
      </w:r>
      <w:r w:rsidR="00B9720E">
        <w:rPr>
          <w:b/>
          <w:sz w:val="22"/>
          <w:szCs w:val="22"/>
        </w:rPr>
        <w:t>6</w:t>
      </w:r>
      <w:r w:rsidRPr="00900738">
        <w:rPr>
          <w:b/>
          <w:sz w:val="22"/>
          <w:szCs w:val="22"/>
        </w:rPr>
        <w:t xml:space="preserve">: </w:t>
      </w:r>
      <w:r w:rsidRPr="00B9720E">
        <w:rPr>
          <w:sz w:val="22"/>
          <w:szCs w:val="22"/>
        </w:rPr>
        <w:t>PRACH adaptation should be applicable to cells that support both legacy and Rel-19 UEs.</w:t>
      </w:r>
    </w:p>
    <w:p w14:paraId="11FFE9AF" w14:textId="3C6F1DAD" w:rsidR="000275CC" w:rsidRPr="00B9720E" w:rsidRDefault="000275CC" w:rsidP="000275CC">
      <w:pPr>
        <w:spacing w:before="120"/>
        <w:jc w:val="both"/>
        <w:rPr>
          <w:bCs/>
          <w:color w:val="000000" w:themeColor="text1"/>
          <w:sz w:val="22"/>
          <w:szCs w:val="22"/>
        </w:rPr>
      </w:pPr>
      <w:r w:rsidRPr="00915948">
        <w:rPr>
          <w:b/>
          <w:bCs/>
          <w:color w:val="000000" w:themeColor="text1"/>
          <w:sz w:val="22"/>
          <w:szCs w:val="22"/>
        </w:rPr>
        <w:t>Observation</w:t>
      </w:r>
      <w:r w:rsidR="00B9720E">
        <w:rPr>
          <w:b/>
          <w:bCs/>
          <w:color w:val="000000" w:themeColor="text1"/>
          <w:sz w:val="22"/>
          <w:szCs w:val="22"/>
        </w:rPr>
        <w:t xml:space="preserve"> </w:t>
      </w:r>
      <w:r w:rsidR="0045434A">
        <w:rPr>
          <w:b/>
          <w:bCs/>
          <w:color w:val="000000" w:themeColor="text1"/>
          <w:sz w:val="22"/>
          <w:szCs w:val="22"/>
        </w:rPr>
        <w:t>2</w:t>
      </w:r>
      <w:r w:rsidRPr="00915948">
        <w:rPr>
          <w:b/>
          <w:bCs/>
          <w:color w:val="000000" w:themeColor="text1"/>
          <w:sz w:val="22"/>
          <w:szCs w:val="22"/>
        </w:rPr>
        <w:t>:</w:t>
      </w:r>
      <w:r w:rsidRPr="00915948">
        <w:rPr>
          <w:b/>
          <w:color w:val="000000" w:themeColor="text1"/>
          <w:sz w:val="22"/>
          <w:szCs w:val="22"/>
        </w:rPr>
        <w:t xml:space="preserve"> </w:t>
      </w:r>
      <w:r w:rsidRPr="00B9720E">
        <w:rPr>
          <w:bCs/>
          <w:color w:val="000000" w:themeColor="text1"/>
          <w:sz w:val="22"/>
          <w:szCs w:val="22"/>
        </w:rPr>
        <w:t xml:space="preserve">The configuration of a PRACH configuration index for the additional PRACH resources different from the PRACH configuration index for the legacy resource offers more flexibility to the NW and can help accommodating scheduler needs. </w:t>
      </w:r>
      <w:r w:rsidR="00312B08" w:rsidRPr="00B9720E">
        <w:rPr>
          <w:bCs/>
          <w:color w:val="000000" w:themeColor="text1"/>
          <w:sz w:val="22"/>
          <w:szCs w:val="22"/>
        </w:rPr>
        <w:t>However, the</w:t>
      </w:r>
      <w:r w:rsidRPr="00B9720E">
        <w:rPr>
          <w:bCs/>
          <w:color w:val="000000" w:themeColor="text1"/>
          <w:sz w:val="22"/>
          <w:szCs w:val="22"/>
        </w:rPr>
        <w:t xml:space="preserve"> possible overlaps between sub-sets of ROs would need to be further studied in this case. </w:t>
      </w:r>
    </w:p>
    <w:p w14:paraId="21B4A3CF" w14:textId="0DD2425A" w:rsidR="000275CC" w:rsidRPr="00B9720E" w:rsidRDefault="000275CC" w:rsidP="000275CC">
      <w:pPr>
        <w:jc w:val="both"/>
        <w:rPr>
          <w:color w:val="000000" w:themeColor="text1"/>
          <w:sz w:val="22"/>
          <w:szCs w:val="22"/>
        </w:rPr>
      </w:pPr>
      <w:r w:rsidRPr="000668CA">
        <w:rPr>
          <w:b/>
          <w:bCs/>
          <w:color w:val="000000" w:themeColor="text1"/>
          <w:sz w:val="22"/>
          <w:szCs w:val="22"/>
        </w:rPr>
        <w:t>Observation</w:t>
      </w:r>
      <w:r w:rsidR="00B9720E">
        <w:rPr>
          <w:b/>
          <w:bCs/>
          <w:color w:val="000000" w:themeColor="text1"/>
          <w:sz w:val="22"/>
          <w:szCs w:val="22"/>
        </w:rPr>
        <w:t xml:space="preserve"> </w:t>
      </w:r>
      <w:r w:rsidR="0045434A">
        <w:rPr>
          <w:b/>
          <w:bCs/>
          <w:color w:val="000000" w:themeColor="text1"/>
          <w:sz w:val="22"/>
          <w:szCs w:val="22"/>
        </w:rPr>
        <w:t>3</w:t>
      </w:r>
      <w:r w:rsidRPr="000668CA">
        <w:rPr>
          <w:b/>
          <w:bCs/>
          <w:color w:val="000000" w:themeColor="text1"/>
          <w:sz w:val="22"/>
          <w:szCs w:val="22"/>
        </w:rPr>
        <w:t>:</w:t>
      </w:r>
      <w:r w:rsidRPr="000668CA">
        <w:rPr>
          <w:b/>
          <w:color w:val="000000" w:themeColor="text1"/>
          <w:sz w:val="22"/>
          <w:szCs w:val="22"/>
        </w:rPr>
        <w:t xml:space="preserve"> </w:t>
      </w:r>
      <w:r w:rsidRPr="00B9720E">
        <w:rPr>
          <w:sz w:val="22"/>
          <w:szCs w:val="22"/>
        </w:rPr>
        <w:t>Densification of RO in the system frames where legacy ROs are located</w:t>
      </w:r>
      <w:r w:rsidRPr="00B9720E">
        <w:rPr>
          <w:color w:val="000000" w:themeColor="text1"/>
          <w:sz w:val="22"/>
          <w:szCs w:val="22"/>
        </w:rPr>
        <w:t xml:space="preserve"> offers more compact monitoring occasion in time and/or frequency, which may provide longer BS sleeping opportunities and to achieve better energy saving, with no impact on legacy UEs. </w:t>
      </w:r>
      <w:r w:rsidR="00312B08" w:rsidRPr="00B9720E">
        <w:rPr>
          <w:color w:val="000000" w:themeColor="text1"/>
          <w:sz w:val="22"/>
          <w:szCs w:val="22"/>
        </w:rPr>
        <w:t>However, the</w:t>
      </w:r>
      <w:r w:rsidRPr="00B9720E">
        <w:rPr>
          <w:color w:val="000000" w:themeColor="text1"/>
          <w:sz w:val="22"/>
          <w:szCs w:val="22"/>
        </w:rPr>
        <w:t xml:space="preserve"> possible impact in terms of latency and energy consumption for handling other UL channels, e.g., RRC_CONNECTED PUSCH and PUSCH, would need to be further studied in this case. </w:t>
      </w:r>
    </w:p>
    <w:p w14:paraId="6E8A28D6" w14:textId="56483BA1" w:rsidR="00312B08" w:rsidRDefault="00312B08" w:rsidP="00312B08">
      <w:pPr>
        <w:spacing w:before="240" w:after="0"/>
        <w:jc w:val="both"/>
        <w:rPr>
          <w:sz w:val="22"/>
          <w:szCs w:val="22"/>
        </w:rPr>
      </w:pPr>
      <w:r>
        <w:rPr>
          <w:b/>
          <w:bCs/>
          <w:sz w:val="22"/>
          <w:szCs w:val="22"/>
        </w:rPr>
        <w:t>Observation</w:t>
      </w:r>
      <w:r w:rsidR="00B9720E">
        <w:rPr>
          <w:b/>
          <w:bCs/>
          <w:sz w:val="22"/>
          <w:szCs w:val="22"/>
        </w:rPr>
        <w:t xml:space="preserve"> </w:t>
      </w:r>
      <w:r w:rsidR="0045434A">
        <w:rPr>
          <w:b/>
          <w:bCs/>
          <w:sz w:val="22"/>
          <w:szCs w:val="22"/>
        </w:rPr>
        <w:t>4</w:t>
      </w:r>
      <w:r w:rsidRPr="000F0B0B">
        <w:rPr>
          <w:b/>
          <w:bCs/>
          <w:sz w:val="22"/>
          <w:szCs w:val="22"/>
        </w:rPr>
        <w:t>:</w:t>
      </w:r>
      <w:r w:rsidRPr="0095153E">
        <w:rPr>
          <w:b/>
          <w:sz w:val="22"/>
          <w:szCs w:val="22"/>
        </w:rPr>
        <w:t xml:space="preserve"> </w:t>
      </w:r>
      <w:r w:rsidRPr="00B9720E">
        <w:rPr>
          <w:bCs/>
          <w:sz w:val="22"/>
          <w:szCs w:val="22"/>
        </w:rPr>
        <w:t>The versatility of the existing framework may not be enough to cover all the needs a NW scheduler may have in this context, irrespective of whether the creation of the additional ROs is obtained through densifying ROs or increasing the number of system frames in which ROs are created.</w:t>
      </w:r>
      <w:r w:rsidRPr="0095153E">
        <w:rPr>
          <w:b/>
          <w:sz w:val="22"/>
          <w:szCs w:val="22"/>
        </w:rPr>
        <w:t xml:space="preserve"> </w:t>
      </w:r>
    </w:p>
    <w:p w14:paraId="120436E1" w14:textId="2C246D86" w:rsidR="00312B08" w:rsidRPr="008179D3" w:rsidRDefault="003E789A" w:rsidP="008179D3">
      <w:pPr>
        <w:spacing w:before="120"/>
        <w:jc w:val="both"/>
        <w:rPr>
          <w:b/>
          <w:color w:val="000000" w:themeColor="text1"/>
          <w:sz w:val="22"/>
          <w:szCs w:val="22"/>
        </w:rPr>
      </w:pPr>
      <w:r w:rsidRPr="00915948">
        <w:rPr>
          <w:b/>
          <w:bCs/>
          <w:color w:val="000000" w:themeColor="text1"/>
          <w:sz w:val="22"/>
          <w:szCs w:val="22"/>
        </w:rPr>
        <w:t>Observation</w:t>
      </w:r>
      <w:r w:rsidR="00B9720E">
        <w:rPr>
          <w:b/>
          <w:bCs/>
          <w:color w:val="000000" w:themeColor="text1"/>
          <w:sz w:val="22"/>
          <w:szCs w:val="22"/>
        </w:rPr>
        <w:t xml:space="preserve"> </w:t>
      </w:r>
      <w:r w:rsidR="0045434A">
        <w:rPr>
          <w:b/>
          <w:bCs/>
          <w:color w:val="000000" w:themeColor="text1"/>
          <w:sz w:val="22"/>
          <w:szCs w:val="22"/>
        </w:rPr>
        <w:t>5</w:t>
      </w:r>
      <w:r w:rsidRPr="00915948">
        <w:rPr>
          <w:b/>
          <w:bCs/>
          <w:color w:val="000000" w:themeColor="text1"/>
          <w:sz w:val="22"/>
          <w:szCs w:val="22"/>
        </w:rPr>
        <w:t>:</w:t>
      </w:r>
      <w:r w:rsidRPr="00915948">
        <w:rPr>
          <w:b/>
          <w:color w:val="000000" w:themeColor="text1"/>
          <w:sz w:val="22"/>
          <w:szCs w:val="22"/>
        </w:rPr>
        <w:t xml:space="preserve"> </w:t>
      </w:r>
      <w:r w:rsidRPr="00B9720E">
        <w:rPr>
          <w:bCs/>
          <w:color w:val="000000" w:themeColor="text1"/>
          <w:sz w:val="22"/>
          <w:szCs w:val="22"/>
        </w:rPr>
        <w:t xml:space="preserve">The configuration of the PRACH configuration index for the additional PRACH resources as the legacy resource allows the network energy consumption for PRACH reception to occur mainly (or only) during system frames where legacy ROs are located and, at the same time, ensures that PRACH resources are not overlapping in time and/or frequency. </w:t>
      </w:r>
    </w:p>
    <w:p w14:paraId="46BA07B7" w14:textId="6818BD0B" w:rsidR="00312B08" w:rsidRPr="00B9720E" w:rsidRDefault="00312B08" w:rsidP="003E789A">
      <w:pPr>
        <w:spacing w:after="0"/>
        <w:jc w:val="both"/>
        <w:rPr>
          <w:bCs/>
          <w:color w:val="000000" w:themeColor="text1"/>
          <w:sz w:val="22"/>
          <w:szCs w:val="22"/>
        </w:rPr>
      </w:pPr>
      <w:r w:rsidRPr="009D24A1">
        <w:rPr>
          <w:b/>
          <w:color w:val="000000" w:themeColor="text1"/>
          <w:sz w:val="22"/>
          <w:szCs w:val="22"/>
        </w:rPr>
        <w:t>Proposal-</w:t>
      </w:r>
      <w:r w:rsidR="00B9720E">
        <w:rPr>
          <w:b/>
          <w:color w:val="000000" w:themeColor="text1"/>
          <w:sz w:val="22"/>
          <w:szCs w:val="22"/>
        </w:rPr>
        <w:t>7</w:t>
      </w:r>
      <w:r w:rsidRPr="009D24A1">
        <w:rPr>
          <w:b/>
          <w:color w:val="000000" w:themeColor="text1"/>
          <w:sz w:val="22"/>
          <w:szCs w:val="22"/>
        </w:rPr>
        <w:t xml:space="preserve">: </w:t>
      </w:r>
      <w:r w:rsidR="00DB6F45" w:rsidRPr="00B9720E">
        <w:rPr>
          <w:bCs/>
          <w:color w:val="000000" w:themeColor="text1"/>
          <w:sz w:val="22"/>
          <w:szCs w:val="22"/>
        </w:rPr>
        <w:t>RAN2 to wait for RAN1 to conclude on whether to consider same or different PRACH configuration indices for NES-capable UEs</w:t>
      </w:r>
      <w:r w:rsidRPr="00B9720E">
        <w:rPr>
          <w:bCs/>
          <w:color w:val="000000" w:themeColor="text1"/>
          <w:sz w:val="22"/>
          <w:szCs w:val="22"/>
        </w:rPr>
        <w:t xml:space="preserve">. </w:t>
      </w:r>
      <w:r w:rsidR="00DB6F45" w:rsidRPr="00B9720E">
        <w:rPr>
          <w:bCs/>
          <w:color w:val="000000" w:themeColor="text1"/>
          <w:sz w:val="22"/>
          <w:szCs w:val="22"/>
        </w:rPr>
        <w:t>Implications on RAN2</w:t>
      </w:r>
      <w:r w:rsidRPr="00B9720E">
        <w:rPr>
          <w:bCs/>
          <w:color w:val="000000" w:themeColor="text1"/>
          <w:sz w:val="22"/>
          <w:szCs w:val="22"/>
        </w:rPr>
        <w:t xml:space="preserve"> are FFS.</w:t>
      </w:r>
    </w:p>
    <w:p w14:paraId="592B481B" w14:textId="7E7CD3AF" w:rsidR="00DB4A90" w:rsidRPr="00DB6F45" w:rsidRDefault="00DB4A90" w:rsidP="00DB4A90">
      <w:pPr>
        <w:pStyle w:val="Heading3"/>
        <w:numPr>
          <w:ilvl w:val="1"/>
          <w:numId w:val="27"/>
        </w:numPr>
        <w:rPr>
          <w:sz w:val="22"/>
          <w:szCs w:val="22"/>
        </w:rPr>
      </w:pPr>
      <w:proofErr w:type="spellStart"/>
      <w:r>
        <w:rPr>
          <w:sz w:val="22"/>
          <w:szCs w:val="22"/>
        </w:rPr>
        <w:t>Signaling</w:t>
      </w:r>
      <w:proofErr w:type="spellEnd"/>
      <w:r>
        <w:rPr>
          <w:sz w:val="22"/>
          <w:szCs w:val="22"/>
        </w:rPr>
        <w:t xml:space="preserve"> aspects</w:t>
      </w:r>
    </w:p>
    <w:p w14:paraId="1E25E310" w14:textId="620E499F" w:rsidR="00150572" w:rsidRDefault="00DB4A90" w:rsidP="00150572">
      <w:pPr>
        <w:jc w:val="both"/>
        <w:rPr>
          <w:sz w:val="22"/>
          <w:szCs w:val="22"/>
        </w:rPr>
      </w:pPr>
      <w:r>
        <w:rPr>
          <w:sz w:val="22"/>
          <w:szCs w:val="22"/>
        </w:rPr>
        <w:t>As per the latest RAN1#117 meeting outcome, it was agreed the c</w:t>
      </w:r>
      <w:r w:rsidRPr="00C50D45">
        <w:rPr>
          <w:sz w:val="22"/>
          <w:szCs w:val="22"/>
        </w:rPr>
        <w:t xml:space="preserve">onfiguration of additional PRACH resources is provided by semi-static </w:t>
      </w:r>
      <w:proofErr w:type="spellStart"/>
      <w:r w:rsidRPr="00C50D45">
        <w:rPr>
          <w:sz w:val="22"/>
          <w:szCs w:val="22"/>
        </w:rPr>
        <w:t>signalling</w:t>
      </w:r>
      <w:proofErr w:type="spellEnd"/>
      <w:r>
        <w:rPr>
          <w:sz w:val="22"/>
          <w:szCs w:val="22"/>
        </w:rPr>
        <w:t>.</w:t>
      </w:r>
      <w:r w:rsidR="00150572">
        <w:rPr>
          <w:sz w:val="22"/>
          <w:szCs w:val="22"/>
        </w:rPr>
        <w:t xml:space="preserve"> For the (de)-activation of these </w:t>
      </w:r>
      <w:r w:rsidR="00150572" w:rsidRPr="00C50D45">
        <w:rPr>
          <w:sz w:val="22"/>
          <w:szCs w:val="22"/>
        </w:rPr>
        <w:t>additional PRACH resources</w:t>
      </w:r>
      <w:r w:rsidR="00150572">
        <w:rPr>
          <w:sz w:val="22"/>
          <w:szCs w:val="22"/>
        </w:rPr>
        <w:t xml:space="preserve">, different options can be considered depending on how frequent the adaptation of PRACH resources is to be applied to the </w:t>
      </w:r>
      <w:r w:rsidR="00150572">
        <w:rPr>
          <w:bCs/>
          <w:color w:val="000000" w:themeColor="text1"/>
          <w:sz w:val="22"/>
          <w:szCs w:val="22"/>
        </w:rPr>
        <w:t>cell load changes over time and the number of NES-capable UEs in the cell supporting the dynamic adaptation of the PRACH resources</w:t>
      </w:r>
      <w:r w:rsidR="00150572">
        <w:rPr>
          <w:sz w:val="22"/>
          <w:szCs w:val="22"/>
        </w:rPr>
        <w:t xml:space="preserve">. </w:t>
      </w:r>
    </w:p>
    <w:p w14:paraId="2E849BAE" w14:textId="77777777" w:rsidR="00150572" w:rsidRDefault="00150572" w:rsidP="00150572">
      <w:pPr>
        <w:jc w:val="both"/>
        <w:rPr>
          <w:sz w:val="22"/>
          <w:szCs w:val="22"/>
        </w:rPr>
      </w:pPr>
      <w:r>
        <w:rPr>
          <w:sz w:val="22"/>
          <w:szCs w:val="22"/>
        </w:rPr>
        <w:t xml:space="preserve">A common </w:t>
      </w:r>
      <w:proofErr w:type="spellStart"/>
      <w:r>
        <w:rPr>
          <w:sz w:val="22"/>
          <w:szCs w:val="22"/>
        </w:rPr>
        <w:t>signalling</w:t>
      </w:r>
      <w:proofErr w:type="spellEnd"/>
      <w:r>
        <w:rPr>
          <w:sz w:val="22"/>
          <w:szCs w:val="22"/>
        </w:rPr>
        <w:t xml:space="preserve"> mechanism shall be considered </w:t>
      </w:r>
      <w:r w:rsidRPr="00DD05AE">
        <w:rPr>
          <w:sz w:val="22"/>
          <w:szCs w:val="22"/>
        </w:rPr>
        <w:t>for UEs in RRC Idle/Inactive and RRC connected state.</w:t>
      </w:r>
    </w:p>
    <w:p w14:paraId="305524E6" w14:textId="77777777" w:rsidR="00150572" w:rsidRDefault="00150572" w:rsidP="00150572">
      <w:pPr>
        <w:jc w:val="both"/>
        <w:rPr>
          <w:sz w:val="22"/>
          <w:szCs w:val="22"/>
        </w:rPr>
      </w:pPr>
      <w:r>
        <w:rPr>
          <w:sz w:val="22"/>
          <w:szCs w:val="22"/>
        </w:rPr>
        <w:t xml:space="preserve">Moreover, high </w:t>
      </w:r>
      <w:r w:rsidRPr="00DD05AE">
        <w:rPr>
          <w:sz w:val="22"/>
          <w:szCs w:val="22"/>
        </w:rPr>
        <w:t xml:space="preserve">layer </w:t>
      </w:r>
      <w:proofErr w:type="spellStart"/>
      <w:r w:rsidRPr="00DD05AE">
        <w:rPr>
          <w:sz w:val="22"/>
          <w:szCs w:val="22"/>
        </w:rPr>
        <w:t>signalling</w:t>
      </w:r>
      <w:proofErr w:type="spellEnd"/>
      <w:r>
        <w:rPr>
          <w:sz w:val="22"/>
          <w:szCs w:val="22"/>
        </w:rPr>
        <w:t>, e.g., SIB1 could be considered, by indicating the configuration of the additional PRACH resources and w</w:t>
      </w:r>
      <w:r w:rsidRPr="00DD05AE">
        <w:rPr>
          <w:sz w:val="22"/>
          <w:szCs w:val="22"/>
        </w:rPr>
        <w:t xml:space="preserve">hether </w:t>
      </w:r>
      <w:r>
        <w:rPr>
          <w:sz w:val="22"/>
          <w:szCs w:val="22"/>
        </w:rPr>
        <w:t xml:space="preserve">they </w:t>
      </w:r>
      <w:r w:rsidRPr="00DD05AE">
        <w:rPr>
          <w:sz w:val="22"/>
          <w:szCs w:val="22"/>
        </w:rPr>
        <w:t xml:space="preserve">are </w:t>
      </w:r>
      <w:r>
        <w:rPr>
          <w:sz w:val="22"/>
          <w:szCs w:val="22"/>
        </w:rPr>
        <w:t>activated</w:t>
      </w:r>
      <w:r w:rsidRPr="00DD05AE">
        <w:rPr>
          <w:sz w:val="22"/>
          <w:szCs w:val="22"/>
        </w:rPr>
        <w:t xml:space="preserve"> or not</w:t>
      </w:r>
      <w:r>
        <w:rPr>
          <w:sz w:val="22"/>
          <w:szCs w:val="22"/>
        </w:rPr>
        <w:t xml:space="preserve">. Alternatively, a more dynamic approach would be to use L1 </w:t>
      </w:r>
      <w:proofErr w:type="spellStart"/>
      <w:r>
        <w:rPr>
          <w:sz w:val="22"/>
          <w:szCs w:val="22"/>
        </w:rPr>
        <w:t>signalling</w:t>
      </w:r>
      <w:proofErr w:type="spellEnd"/>
      <w:r>
        <w:rPr>
          <w:sz w:val="22"/>
          <w:szCs w:val="22"/>
        </w:rPr>
        <w:t xml:space="preserve"> and more precisely to reuse the existing DCIs, e.g., paging</w:t>
      </w:r>
      <w:r w:rsidRPr="002D1D46">
        <w:rPr>
          <w:sz w:val="22"/>
          <w:szCs w:val="22"/>
        </w:rPr>
        <w:t xml:space="preserve"> </w:t>
      </w:r>
      <w:r w:rsidRPr="00596325">
        <w:rPr>
          <w:sz w:val="22"/>
          <w:szCs w:val="22"/>
        </w:rPr>
        <w:t>information</w:t>
      </w:r>
      <w:r>
        <w:rPr>
          <w:sz w:val="22"/>
          <w:szCs w:val="22"/>
        </w:rPr>
        <w:t xml:space="preserve"> (paging DCI) which </w:t>
      </w:r>
      <w:r w:rsidRPr="00345EAF">
        <w:rPr>
          <w:sz w:val="22"/>
          <w:szCs w:val="22"/>
        </w:rPr>
        <w:t>target</w:t>
      </w:r>
      <w:r>
        <w:rPr>
          <w:sz w:val="22"/>
          <w:szCs w:val="22"/>
        </w:rPr>
        <w:t>s</w:t>
      </w:r>
      <w:r w:rsidRPr="00345EAF">
        <w:rPr>
          <w:sz w:val="22"/>
          <w:szCs w:val="22"/>
        </w:rPr>
        <w:t xml:space="preserve"> UEs in all RRC states</w:t>
      </w:r>
      <w:r>
        <w:rPr>
          <w:sz w:val="22"/>
          <w:szCs w:val="22"/>
        </w:rPr>
        <w:t xml:space="preserve">. </w:t>
      </w:r>
    </w:p>
    <w:p w14:paraId="0068691F" w14:textId="39416DB4" w:rsidR="00DB4A90" w:rsidRPr="00B72EBA" w:rsidRDefault="00DB4A90" w:rsidP="00DB4A90">
      <w:pPr>
        <w:jc w:val="both"/>
        <w:rPr>
          <w:bCs/>
          <w:sz w:val="22"/>
          <w:szCs w:val="22"/>
        </w:rPr>
      </w:pPr>
      <w:r w:rsidRPr="001902EC">
        <w:rPr>
          <w:b/>
          <w:bCs/>
          <w:sz w:val="22"/>
          <w:szCs w:val="22"/>
        </w:rPr>
        <w:t>Proposal</w:t>
      </w:r>
      <w:r w:rsidR="00FF3857">
        <w:rPr>
          <w:b/>
          <w:bCs/>
          <w:sz w:val="22"/>
          <w:szCs w:val="22"/>
        </w:rPr>
        <w:t xml:space="preserve"> </w:t>
      </w:r>
      <w:r w:rsidR="00B9720E">
        <w:rPr>
          <w:b/>
          <w:bCs/>
          <w:sz w:val="22"/>
          <w:szCs w:val="22"/>
        </w:rPr>
        <w:t>8</w:t>
      </w:r>
      <w:r w:rsidRPr="001902EC">
        <w:rPr>
          <w:b/>
          <w:bCs/>
          <w:sz w:val="22"/>
          <w:szCs w:val="22"/>
        </w:rPr>
        <w:t>:</w:t>
      </w:r>
      <w:r w:rsidRPr="00074AA3">
        <w:rPr>
          <w:b/>
          <w:sz w:val="22"/>
          <w:szCs w:val="22"/>
        </w:rPr>
        <w:t xml:space="preserve"> </w:t>
      </w:r>
      <w:r w:rsidR="00312B08" w:rsidRPr="00B72EBA">
        <w:rPr>
          <w:sz w:val="22"/>
          <w:szCs w:val="22"/>
        </w:rPr>
        <w:t>RAN2</w:t>
      </w:r>
      <w:r w:rsidRPr="00B72EBA">
        <w:rPr>
          <w:bCs/>
          <w:sz w:val="22"/>
          <w:szCs w:val="22"/>
        </w:rPr>
        <w:t xml:space="preserve"> to study the following</w:t>
      </w:r>
      <w:r w:rsidR="00515CFC" w:rsidRPr="00515CFC">
        <w:rPr>
          <w:bCs/>
          <w:sz w:val="22"/>
          <w:szCs w:val="22"/>
        </w:rPr>
        <w:t xml:space="preserve"> </w:t>
      </w:r>
      <w:r w:rsidR="00515CFC" w:rsidRPr="00312B08">
        <w:rPr>
          <w:bCs/>
          <w:sz w:val="22"/>
          <w:szCs w:val="22"/>
        </w:rPr>
        <w:t>for PRACH adaptation</w:t>
      </w:r>
      <w:r w:rsidRPr="00B72EBA">
        <w:rPr>
          <w:bCs/>
          <w:sz w:val="22"/>
          <w:szCs w:val="22"/>
        </w:rPr>
        <w:t>:</w:t>
      </w:r>
    </w:p>
    <w:p w14:paraId="40956FA7" w14:textId="0B2CBC0B" w:rsidR="00DB4A90" w:rsidRPr="00B72EBA" w:rsidRDefault="00DB4A90" w:rsidP="00DB4A90">
      <w:pPr>
        <w:pStyle w:val="ListParagraph"/>
        <w:numPr>
          <w:ilvl w:val="0"/>
          <w:numId w:val="23"/>
        </w:numPr>
        <w:overflowPunct w:val="0"/>
        <w:autoSpaceDE w:val="0"/>
        <w:autoSpaceDN w:val="0"/>
        <w:adjustRightInd w:val="0"/>
        <w:jc w:val="both"/>
        <w:textAlignment w:val="baseline"/>
        <w:rPr>
          <w:bCs/>
          <w:sz w:val="22"/>
          <w:szCs w:val="22"/>
        </w:rPr>
      </w:pPr>
      <w:r w:rsidRPr="00B72EBA">
        <w:rPr>
          <w:bCs/>
          <w:sz w:val="22"/>
          <w:szCs w:val="22"/>
        </w:rPr>
        <w:t xml:space="preserve">whether </w:t>
      </w:r>
      <w:r w:rsidR="00312B08">
        <w:rPr>
          <w:bCs/>
          <w:sz w:val="22"/>
          <w:szCs w:val="22"/>
        </w:rPr>
        <w:t>to consider</w:t>
      </w:r>
      <w:r w:rsidRPr="00B72EBA">
        <w:rPr>
          <w:bCs/>
          <w:sz w:val="22"/>
          <w:szCs w:val="22"/>
        </w:rPr>
        <w:t xml:space="preserve"> the same signaling for UEs in RRC Idle/Inactive and RRC connected state. </w:t>
      </w:r>
    </w:p>
    <w:p w14:paraId="51D10C71" w14:textId="0CF1071A" w:rsidR="00312B08" w:rsidRPr="00B72EBA" w:rsidRDefault="00312B08" w:rsidP="00DB4A90">
      <w:pPr>
        <w:pStyle w:val="ListParagraph"/>
        <w:numPr>
          <w:ilvl w:val="0"/>
          <w:numId w:val="23"/>
        </w:numPr>
        <w:overflowPunct w:val="0"/>
        <w:autoSpaceDE w:val="0"/>
        <w:autoSpaceDN w:val="0"/>
        <w:adjustRightInd w:val="0"/>
        <w:jc w:val="both"/>
        <w:textAlignment w:val="baseline"/>
        <w:rPr>
          <w:bCs/>
          <w:sz w:val="22"/>
          <w:szCs w:val="22"/>
        </w:rPr>
      </w:pPr>
      <w:r w:rsidRPr="00B72EBA">
        <w:rPr>
          <w:bCs/>
          <w:sz w:val="22"/>
          <w:szCs w:val="22"/>
        </w:rPr>
        <w:t xml:space="preserve">whether </w:t>
      </w:r>
      <w:r w:rsidRPr="00312B08">
        <w:rPr>
          <w:bCs/>
          <w:sz w:val="22"/>
          <w:szCs w:val="22"/>
        </w:rPr>
        <w:t xml:space="preserve">to consider higher-layer semi-static signaling, e.g., SIB1, </w:t>
      </w:r>
    </w:p>
    <w:p w14:paraId="3FE925A6" w14:textId="07623B4D" w:rsidR="00DB4A90" w:rsidRPr="00B72EBA" w:rsidRDefault="00DB4A90" w:rsidP="00DB4A90">
      <w:pPr>
        <w:pStyle w:val="ListParagraph"/>
        <w:numPr>
          <w:ilvl w:val="0"/>
          <w:numId w:val="23"/>
        </w:numPr>
        <w:overflowPunct w:val="0"/>
        <w:autoSpaceDE w:val="0"/>
        <w:autoSpaceDN w:val="0"/>
        <w:adjustRightInd w:val="0"/>
        <w:jc w:val="both"/>
        <w:textAlignment w:val="baseline"/>
        <w:rPr>
          <w:bCs/>
          <w:sz w:val="22"/>
          <w:szCs w:val="22"/>
        </w:rPr>
      </w:pPr>
      <w:r w:rsidRPr="00B72EBA">
        <w:rPr>
          <w:bCs/>
          <w:sz w:val="22"/>
          <w:szCs w:val="22"/>
        </w:rPr>
        <w:t xml:space="preserve">whether </w:t>
      </w:r>
      <w:r w:rsidR="00312B08" w:rsidRPr="00312B08">
        <w:rPr>
          <w:bCs/>
          <w:sz w:val="22"/>
          <w:szCs w:val="22"/>
        </w:rPr>
        <w:t xml:space="preserve">RAN1 to consider an L1-based </w:t>
      </w:r>
      <w:proofErr w:type="spellStart"/>
      <w:r w:rsidR="00312B08" w:rsidRPr="00312B08">
        <w:rPr>
          <w:bCs/>
          <w:sz w:val="22"/>
          <w:szCs w:val="22"/>
        </w:rPr>
        <w:t>signalling</w:t>
      </w:r>
      <w:proofErr w:type="spellEnd"/>
      <w:r w:rsidR="00312B08" w:rsidRPr="00312B08">
        <w:rPr>
          <w:bCs/>
          <w:sz w:val="22"/>
          <w:szCs w:val="22"/>
        </w:rPr>
        <w:t>. If supported, existing DCIs, e.g., paging DCI, should be used.</w:t>
      </w:r>
    </w:p>
    <w:p w14:paraId="6E561A35" w14:textId="77777777" w:rsidR="00DB4A90" w:rsidRPr="00E63263" w:rsidRDefault="00DB4A90" w:rsidP="00DB4A90">
      <w:pPr>
        <w:jc w:val="both"/>
        <w:rPr>
          <w:b/>
          <w:sz w:val="22"/>
          <w:szCs w:val="22"/>
        </w:rPr>
      </w:pPr>
    </w:p>
    <w:p w14:paraId="71E51A1A" w14:textId="1B7691CD" w:rsidR="00DB4A90" w:rsidRPr="00DB4A90" w:rsidRDefault="001D714E" w:rsidP="00DB4A90">
      <w:pPr>
        <w:pStyle w:val="Heading1"/>
        <w:numPr>
          <w:ilvl w:val="0"/>
          <w:numId w:val="27"/>
        </w:numPr>
        <w:rPr>
          <w:lang w:val="en-US"/>
        </w:rPr>
      </w:pPr>
      <w:r w:rsidRPr="00C461E2">
        <w:rPr>
          <w:lang w:val="en-US"/>
        </w:rPr>
        <w:t>Adaptation of paging occasions</w:t>
      </w:r>
    </w:p>
    <w:p w14:paraId="1BCA4722" w14:textId="10BAD256" w:rsidR="005C2513" w:rsidRPr="00B72EBA" w:rsidRDefault="00CB7D0B" w:rsidP="005C2513">
      <w:pPr>
        <w:rPr>
          <w:sz w:val="22"/>
          <w:szCs w:val="22"/>
        </w:rPr>
      </w:pPr>
      <w:r>
        <w:rPr>
          <w:sz w:val="22"/>
          <w:szCs w:val="22"/>
        </w:rPr>
        <w:t xml:space="preserve">At RAN2 #126 the adaptation of paging occasions was not treated. </w:t>
      </w:r>
      <w:r w:rsidR="005C2513" w:rsidRPr="00B72EBA">
        <w:rPr>
          <w:sz w:val="22"/>
          <w:szCs w:val="22"/>
        </w:rPr>
        <w:t xml:space="preserve">At </w:t>
      </w:r>
      <w:r w:rsidR="003A64BA" w:rsidRPr="00B72EBA">
        <w:rPr>
          <w:sz w:val="22"/>
          <w:szCs w:val="22"/>
        </w:rPr>
        <w:t>RAN2 #125bis the following was agreed:</w:t>
      </w:r>
    </w:p>
    <w:tbl>
      <w:tblPr>
        <w:tblStyle w:val="TableGrid"/>
        <w:tblW w:w="0" w:type="auto"/>
        <w:tblLook w:val="04A0" w:firstRow="1" w:lastRow="0" w:firstColumn="1" w:lastColumn="0" w:noHBand="0" w:noVBand="1"/>
      </w:tblPr>
      <w:tblGrid>
        <w:gridCol w:w="9631"/>
      </w:tblGrid>
      <w:tr w:rsidR="003A64BA" w:rsidRPr="00B72EBA" w14:paraId="165546E3" w14:textId="77777777" w:rsidTr="003A64BA">
        <w:tc>
          <w:tcPr>
            <w:tcW w:w="9631" w:type="dxa"/>
          </w:tcPr>
          <w:p w14:paraId="436A96C0" w14:textId="77777777" w:rsidR="003A64BA" w:rsidRPr="00B72EBA" w:rsidRDefault="003A64BA" w:rsidP="003A64BA">
            <w:pPr>
              <w:rPr>
                <w:sz w:val="22"/>
                <w:szCs w:val="22"/>
              </w:rPr>
            </w:pPr>
            <w:r w:rsidRPr="00B72EBA">
              <w:rPr>
                <w:sz w:val="22"/>
                <w:szCs w:val="22"/>
              </w:rPr>
              <w:t>1.</w:t>
            </w:r>
            <w:r w:rsidRPr="00B72EBA">
              <w:rPr>
                <w:sz w:val="22"/>
                <w:szCs w:val="22"/>
              </w:rPr>
              <w:tab/>
              <w:t>From the UE point of view, UE will monitor one PEI/PO every paging DRX cycle, i.e. the UE doesn’t skip PO in paging DRX cycle.</w:t>
            </w:r>
          </w:p>
          <w:p w14:paraId="6B262C93" w14:textId="77777777" w:rsidR="003A64BA" w:rsidRPr="00B72EBA" w:rsidRDefault="003A64BA" w:rsidP="003A64BA">
            <w:pPr>
              <w:rPr>
                <w:sz w:val="22"/>
                <w:szCs w:val="22"/>
              </w:rPr>
            </w:pPr>
            <w:r w:rsidRPr="00B72EBA">
              <w:rPr>
                <w:sz w:val="22"/>
                <w:szCs w:val="22"/>
              </w:rPr>
              <w:t>2.</w:t>
            </w:r>
            <w:r w:rsidRPr="00B72EBA">
              <w:rPr>
                <w:sz w:val="22"/>
                <w:szCs w:val="22"/>
              </w:rPr>
              <w:tab/>
              <w:t>For adaptation of paging occasions in time domain, RAN2 to study a) bundle paging frames and b) extend the values of N to have increased interval between PFs (e.g. T/64, T/128 ...) and compensating decrease in number of PFs by increasing POs per PF.</w:t>
            </w:r>
          </w:p>
          <w:p w14:paraId="3288E1AA" w14:textId="77777777" w:rsidR="003A64BA" w:rsidRPr="00B72EBA" w:rsidRDefault="003A64BA" w:rsidP="003A64BA">
            <w:pPr>
              <w:rPr>
                <w:sz w:val="22"/>
                <w:szCs w:val="22"/>
              </w:rPr>
            </w:pPr>
            <w:r w:rsidRPr="00B72EBA">
              <w:rPr>
                <w:sz w:val="22"/>
                <w:szCs w:val="22"/>
              </w:rPr>
              <w:t>3.</w:t>
            </w:r>
            <w:r w:rsidRPr="00B72EBA">
              <w:rPr>
                <w:sz w:val="22"/>
                <w:szCs w:val="22"/>
              </w:rPr>
              <w:tab/>
              <w:t>For Paging adaptation, R2 discusses the following options on compatibility of legacy RRC_IDLE/RRC_INACTIVE UE:</w:t>
            </w:r>
          </w:p>
          <w:p w14:paraId="4845FDB7" w14:textId="77777777" w:rsidR="003A64BA" w:rsidRPr="00B72EBA" w:rsidRDefault="003A64BA" w:rsidP="003A64BA">
            <w:pPr>
              <w:rPr>
                <w:sz w:val="22"/>
                <w:szCs w:val="22"/>
              </w:rPr>
            </w:pPr>
            <w:r w:rsidRPr="00B72EBA">
              <w:rPr>
                <w:sz w:val="22"/>
                <w:szCs w:val="22"/>
              </w:rPr>
              <w:t xml:space="preserve"> </w:t>
            </w:r>
            <w:r w:rsidRPr="00B72EBA">
              <w:rPr>
                <w:sz w:val="22"/>
                <w:szCs w:val="22"/>
              </w:rPr>
              <w:tab/>
              <w:t xml:space="preserve">- Option 1: Prevent the access of legacy UE via </w:t>
            </w:r>
            <w:proofErr w:type="gramStart"/>
            <w:r w:rsidRPr="00B72EBA">
              <w:rPr>
                <w:sz w:val="22"/>
                <w:szCs w:val="22"/>
              </w:rPr>
              <w:t>barring;</w:t>
            </w:r>
            <w:proofErr w:type="gramEnd"/>
          </w:p>
          <w:p w14:paraId="05C5F504" w14:textId="40232FD8" w:rsidR="003A64BA" w:rsidRPr="00B72EBA" w:rsidRDefault="003A64BA" w:rsidP="003A64BA">
            <w:pPr>
              <w:rPr>
                <w:sz w:val="22"/>
                <w:szCs w:val="22"/>
              </w:rPr>
            </w:pPr>
            <w:r w:rsidRPr="00B72EBA">
              <w:rPr>
                <w:sz w:val="22"/>
                <w:szCs w:val="22"/>
              </w:rPr>
              <w:t xml:space="preserve"> </w:t>
            </w:r>
            <w:r w:rsidRPr="00B72EBA">
              <w:rPr>
                <w:sz w:val="22"/>
                <w:szCs w:val="22"/>
              </w:rPr>
              <w:tab/>
              <w:t>- Option 2: Separate paging resources for legacy UEs and Rel-19 NES UEs (assuming there are legacy UEs)</w:t>
            </w:r>
          </w:p>
        </w:tc>
      </w:tr>
    </w:tbl>
    <w:p w14:paraId="0039A472" w14:textId="4CB1D8D7" w:rsidR="00CB7D0B" w:rsidRDefault="00CB7D0B" w:rsidP="005C2513">
      <w:pPr>
        <w:rPr>
          <w:sz w:val="22"/>
          <w:szCs w:val="22"/>
        </w:rPr>
      </w:pPr>
      <w:r>
        <w:rPr>
          <w:sz w:val="22"/>
          <w:szCs w:val="22"/>
        </w:rPr>
        <w:t xml:space="preserve">In this contribution we compare the </w:t>
      </w:r>
      <w:proofErr w:type="gramStart"/>
      <w:r>
        <w:rPr>
          <w:sz w:val="22"/>
          <w:szCs w:val="22"/>
        </w:rPr>
        <w:t>options a and</w:t>
      </w:r>
      <w:proofErr w:type="gramEnd"/>
      <w:r>
        <w:rPr>
          <w:sz w:val="22"/>
          <w:szCs w:val="22"/>
        </w:rPr>
        <w:t xml:space="preserve"> b. The starting point is the illustration in </w:t>
      </w:r>
      <w:r>
        <w:rPr>
          <w:sz w:val="22"/>
          <w:szCs w:val="22"/>
        </w:rPr>
        <w:fldChar w:fldCharType="begin"/>
      </w:r>
      <w:r>
        <w:rPr>
          <w:sz w:val="22"/>
          <w:szCs w:val="22"/>
        </w:rPr>
        <w:instrText xml:space="preserve"> REF _Ref173397641 \h </w:instrText>
      </w:r>
      <w:r>
        <w:rPr>
          <w:sz w:val="22"/>
          <w:szCs w:val="22"/>
        </w:rPr>
      </w:r>
      <w:r>
        <w:rPr>
          <w:sz w:val="22"/>
          <w:szCs w:val="22"/>
        </w:rPr>
        <w:fldChar w:fldCharType="separate"/>
      </w:r>
      <w:r>
        <w:t xml:space="preserve">Figure </w:t>
      </w:r>
      <w:r>
        <w:rPr>
          <w:noProof/>
        </w:rPr>
        <w:t>4</w:t>
      </w:r>
      <w:r>
        <w:rPr>
          <w:sz w:val="22"/>
          <w:szCs w:val="22"/>
        </w:rPr>
        <w:fldChar w:fldCharType="end"/>
      </w:r>
      <w:r>
        <w:rPr>
          <w:sz w:val="22"/>
          <w:szCs w:val="22"/>
        </w:rPr>
        <w:t>.</w:t>
      </w:r>
    </w:p>
    <w:p w14:paraId="550053CE" w14:textId="1D974943" w:rsidR="00CB7D0B" w:rsidRDefault="00CB7D0B" w:rsidP="005C2513">
      <w:pPr>
        <w:rPr>
          <w:sz w:val="22"/>
          <w:szCs w:val="22"/>
        </w:rPr>
      </w:pPr>
      <w:r>
        <w:rPr>
          <w:sz w:val="22"/>
          <w:szCs w:val="22"/>
        </w:rPr>
        <w:t>The legacy approach</w:t>
      </w:r>
      <w:r w:rsidR="00EF1CAB">
        <w:rPr>
          <w:sz w:val="22"/>
          <w:szCs w:val="22"/>
        </w:rPr>
        <w:t xml:space="preserve"> (top drawing in </w:t>
      </w:r>
      <w:r w:rsidR="00EF1CAB">
        <w:rPr>
          <w:sz w:val="22"/>
          <w:szCs w:val="22"/>
        </w:rPr>
        <w:fldChar w:fldCharType="begin"/>
      </w:r>
      <w:r w:rsidR="00EF1CAB">
        <w:rPr>
          <w:sz w:val="22"/>
          <w:szCs w:val="22"/>
        </w:rPr>
        <w:instrText xml:space="preserve"> REF _Ref173397641 \h </w:instrText>
      </w:r>
      <w:r w:rsidR="00EF1CAB">
        <w:rPr>
          <w:sz w:val="22"/>
          <w:szCs w:val="22"/>
        </w:rPr>
      </w:r>
      <w:r w:rsidR="00EF1CAB">
        <w:rPr>
          <w:sz w:val="22"/>
          <w:szCs w:val="22"/>
        </w:rPr>
        <w:fldChar w:fldCharType="separate"/>
      </w:r>
      <w:r w:rsidR="00EF1CAB">
        <w:t xml:space="preserve">Figure </w:t>
      </w:r>
      <w:r w:rsidR="00EF1CAB">
        <w:rPr>
          <w:noProof/>
        </w:rPr>
        <w:t>4</w:t>
      </w:r>
      <w:r w:rsidR="00EF1CAB">
        <w:rPr>
          <w:sz w:val="22"/>
          <w:szCs w:val="22"/>
        </w:rPr>
        <w:fldChar w:fldCharType="end"/>
      </w:r>
      <w:r w:rsidR="00EF1CAB">
        <w:rPr>
          <w:sz w:val="22"/>
          <w:szCs w:val="22"/>
        </w:rPr>
        <w:t>)</w:t>
      </w:r>
      <w:r>
        <w:rPr>
          <w:sz w:val="22"/>
          <w:szCs w:val="22"/>
        </w:rPr>
        <w:t xml:space="preserve"> operates using a certain paging frame </w:t>
      </w:r>
      <w:r w:rsidR="00EF1CAB">
        <w:rPr>
          <w:sz w:val="22"/>
          <w:szCs w:val="22"/>
        </w:rPr>
        <w:t xml:space="preserve">(PF) </w:t>
      </w:r>
      <w:r>
        <w:rPr>
          <w:sz w:val="22"/>
          <w:szCs w:val="22"/>
        </w:rPr>
        <w:t xml:space="preserve">interval, e.g. 80 </w:t>
      </w:r>
      <w:proofErr w:type="spellStart"/>
      <w:r>
        <w:rPr>
          <w:sz w:val="22"/>
          <w:szCs w:val="22"/>
        </w:rPr>
        <w:t>ms</w:t>
      </w:r>
      <w:proofErr w:type="spellEnd"/>
      <w:r>
        <w:rPr>
          <w:sz w:val="22"/>
          <w:szCs w:val="22"/>
        </w:rPr>
        <w:t xml:space="preserve"> or 160 </w:t>
      </w:r>
      <w:proofErr w:type="spellStart"/>
      <w:r>
        <w:rPr>
          <w:sz w:val="22"/>
          <w:szCs w:val="22"/>
        </w:rPr>
        <w:t>ms</w:t>
      </w:r>
      <w:proofErr w:type="spellEnd"/>
      <w:r w:rsidR="00EF1CAB">
        <w:rPr>
          <w:sz w:val="22"/>
          <w:szCs w:val="22"/>
        </w:rPr>
        <w:t>, and 1/2/4 paging occasions (PO) per PF.</w:t>
      </w:r>
      <w:r>
        <w:rPr>
          <w:sz w:val="22"/>
          <w:szCs w:val="22"/>
        </w:rPr>
        <w:t xml:space="preserve"> </w:t>
      </w:r>
      <w:r w:rsidR="00EF1CAB">
        <w:rPr>
          <w:sz w:val="22"/>
          <w:szCs w:val="22"/>
        </w:rPr>
        <w:t xml:space="preserve">Furthermore, the network may configure RACH resources near the PFs to facilitate the UE can perform RACH after being paged. In terms of reference signals, the SSBs will be evenly distributed, e.g. using 20 </w:t>
      </w:r>
      <w:proofErr w:type="spellStart"/>
      <w:r w:rsidR="00EF1CAB">
        <w:rPr>
          <w:sz w:val="22"/>
          <w:szCs w:val="22"/>
        </w:rPr>
        <w:t>ms</w:t>
      </w:r>
      <w:proofErr w:type="spellEnd"/>
      <w:r w:rsidR="00EF1CAB">
        <w:rPr>
          <w:sz w:val="22"/>
          <w:szCs w:val="22"/>
        </w:rPr>
        <w:t>, while the release 17 feature of TRS for RRC Idle/Inactive UEs may facilitate reference signal availability tailored to the PF interval.</w:t>
      </w:r>
    </w:p>
    <w:p w14:paraId="35A5E38C" w14:textId="62651385" w:rsidR="00EF1CAB" w:rsidRDefault="00EF1CAB" w:rsidP="005C2513">
      <w:pPr>
        <w:rPr>
          <w:sz w:val="22"/>
          <w:szCs w:val="22"/>
        </w:rPr>
      </w:pPr>
      <w:r>
        <w:rPr>
          <w:sz w:val="22"/>
          <w:szCs w:val="22"/>
        </w:rPr>
        <w:t xml:space="preserve">The option a (middle drawing in </w:t>
      </w:r>
      <w:r>
        <w:rPr>
          <w:sz w:val="22"/>
          <w:szCs w:val="22"/>
        </w:rPr>
        <w:fldChar w:fldCharType="begin"/>
      </w:r>
      <w:r>
        <w:rPr>
          <w:sz w:val="22"/>
          <w:szCs w:val="22"/>
        </w:rPr>
        <w:instrText xml:space="preserve"> REF _Ref173397641 \h </w:instrText>
      </w:r>
      <w:r>
        <w:rPr>
          <w:sz w:val="22"/>
          <w:szCs w:val="22"/>
        </w:rPr>
      </w:r>
      <w:r>
        <w:rPr>
          <w:sz w:val="22"/>
          <w:szCs w:val="22"/>
        </w:rPr>
        <w:fldChar w:fldCharType="separate"/>
      </w:r>
      <w:r>
        <w:t xml:space="preserve">Figure </w:t>
      </w:r>
      <w:r>
        <w:rPr>
          <w:noProof/>
        </w:rPr>
        <w:t>4</w:t>
      </w:r>
      <w:r>
        <w:rPr>
          <w:sz w:val="22"/>
          <w:szCs w:val="22"/>
        </w:rPr>
        <w:fldChar w:fldCharType="end"/>
      </w:r>
      <w:r>
        <w:rPr>
          <w:sz w:val="22"/>
          <w:szCs w:val="22"/>
        </w:rPr>
        <w:t xml:space="preserve">) implies a set of paging frames are bundled. In our view, this means the set of bundled paging frames occur with a short paging frame interval, while the bundles occur according to a longer bundle interval. Similar to the legacy approach, the RACH resources can be allocated near the PFs, but in option </w:t>
      </w:r>
      <w:proofErr w:type="gramStart"/>
      <w:r>
        <w:rPr>
          <w:sz w:val="22"/>
          <w:szCs w:val="22"/>
        </w:rPr>
        <w:t>a the</w:t>
      </w:r>
      <w:proofErr w:type="gramEnd"/>
      <w:r>
        <w:rPr>
          <w:sz w:val="22"/>
          <w:szCs w:val="22"/>
        </w:rPr>
        <w:t xml:space="preserve"> RACH resources may also be allocated in a bundled fashion</w:t>
      </w:r>
      <w:r w:rsidR="000028B7">
        <w:rPr>
          <w:sz w:val="22"/>
          <w:szCs w:val="22"/>
        </w:rPr>
        <w:t xml:space="preserve"> to support the potential increase in paging load in the time period of the bundle</w:t>
      </w:r>
      <w:r>
        <w:rPr>
          <w:sz w:val="22"/>
          <w:szCs w:val="22"/>
        </w:rPr>
        <w:t xml:space="preserve">. It is worth noting that this </w:t>
      </w:r>
      <w:r w:rsidR="000028B7">
        <w:rPr>
          <w:sz w:val="22"/>
          <w:szCs w:val="22"/>
        </w:rPr>
        <w:t>may</w:t>
      </w:r>
      <w:r>
        <w:rPr>
          <w:sz w:val="22"/>
          <w:szCs w:val="22"/>
        </w:rPr>
        <w:t xml:space="preserve"> result in overlap</w:t>
      </w:r>
      <w:r w:rsidR="000028B7">
        <w:rPr>
          <w:sz w:val="22"/>
          <w:szCs w:val="22"/>
        </w:rPr>
        <w:t>ping</w:t>
      </w:r>
      <w:r>
        <w:rPr>
          <w:sz w:val="22"/>
          <w:szCs w:val="22"/>
        </w:rPr>
        <w:t xml:space="preserve"> of paging and RACH activities, which is beneficial for the network energy saving due to the shorter total active time.</w:t>
      </w:r>
    </w:p>
    <w:p w14:paraId="320693F7" w14:textId="31E9A170" w:rsidR="00EF1CAB" w:rsidRDefault="00EF1CAB" w:rsidP="005C2513">
      <w:pPr>
        <w:rPr>
          <w:sz w:val="22"/>
          <w:szCs w:val="22"/>
        </w:rPr>
      </w:pPr>
      <w:r>
        <w:rPr>
          <w:sz w:val="22"/>
          <w:szCs w:val="22"/>
        </w:rPr>
        <w:t xml:space="preserve">The option b (lower drawing in </w:t>
      </w:r>
      <w:r>
        <w:rPr>
          <w:sz w:val="22"/>
          <w:szCs w:val="22"/>
        </w:rPr>
        <w:fldChar w:fldCharType="begin"/>
      </w:r>
      <w:r>
        <w:rPr>
          <w:sz w:val="22"/>
          <w:szCs w:val="22"/>
        </w:rPr>
        <w:instrText xml:space="preserve"> REF _Ref173397641 \h </w:instrText>
      </w:r>
      <w:r>
        <w:rPr>
          <w:sz w:val="22"/>
          <w:szCs w:val="22"/>
        </w:rPr>
      </w:r>
      <w:r>
        <w:rPr>
          <w:sz w:val="22"/>
          <w:szCs w:val="22"/>
        </w:rPr>
        <w:fldChar w:fldCharType="separate"/>
      </w:r>
      <w:r>
        <w:t xml:space="preserve">Figure </w:t>
      </w:r>
      <w:r>
        <w:rPr>
          <w:noProof/>
        </w:rPr>
        <w:t>4</w:t>
      </w:r>
      <w:r>
        <w:rPr>
          <w:sz w:val="22"/>
          <w:szCs w:val="22"/>
        </w:rPr>
        <w:fldChar w:fldCharType="end"/>
      </w:r>
      <w:r>
        <w:rPr>
          <w:sz w:val="22"/>
          <w:szCs w:val="22"/>
        </w:rPr>
        <w:t>) implies the paging frame interval is extended. To compensate for the longer interval additional POs may be allocated per PF (orange color in the drawing). Furthermore, it may be necessary to also allocate additional RACH resources</w:t>
      </w:r>
      <w:r w:rsidR="00BC0F7E">
        <w:rPr>
          <w:sz w:val="22"/>
          <w:szCs w:val="22"/>
        </w:rPr>
        <w:t xml:space="preserve"> and TRS</w:t>
      </w:r>
      <w:r>
        <w:rPr>
          <w:sz w:val="22"/>
          <w:szCs w:val="22"/>
        </w:rPr>
        <w:t xml:space="preserve"> to support the additional </w:t>
      </w:r>
      <w:proofErr w:type="spellStart"/>
      <w:r>
        <w:rPr>
          <w:sz w:val="22"/>
          <w:szCs w:val="22"/>
        </w:rPr>
        <w:t>POs.</w:t>
      </w:r>
      <w:proofErr w:type="spellEnd"/>
      <w:r>
        <w:rPr>
          <w:sz w:val="22"/>
          <w:szCs w:val="22"/>
        </w:rPr>
        <w:t xml:space="preserve"> </w:t>
      </w:r>
    </w:p>
    <w:p w14:paraId="0F4E5860" w14:textId="77777777" w:rsidR="00CB7D0B" w:rsidRDefault="00CB7D0B" w:rsidP="00CB7D0B">
      <w:pPr>
        <w:keepNext/>
      </w:pPr>
      <w:r w:rsidRPr="00CB7D0B">
        <w:rPr>
          <w:noProof/>
          <w:sz w:val="22"/>
          <w:szCs w:val="22"/>
        </w:rPr>
        <w:lastRenderedPageBreak/>
        <w:drawing>
          <wp:inline distT="0" distB="0" distL="0" distR="0" wp14:anchorId="52985F59" wp14:editId="1041094E">
            <wp:extent cx="6122035" cy="2896870"/>
            <wp:effectExtent l="0" t="0" r="0" b="0"/>
            <wp:docPr id="980926564" name="Picture 1"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926564" name="Picture 1" descr="A computer screen shot of a diagram&#10;&#10;Description automatically generated"/>
                    <pic:cNvPicPr/>
                  </pic:nvPicPr>
                  <pic:blipFill>
                    <a:blip r:embed="rId13"/>
                    <a:stretch>
                      <a:fillRect/>
                    </a:stretch>
                  </pic:blipFill>
                  <pic:spPr>
                    <a:xfrm>
                      <a:off x="0" y="0"/>
                      <a:ext cx="6122035" cy="2896870"/>
                    </a:xfrm>
                    <a:prstGeom prst="rect">
                      <a:avLst/>
                    </a:prstGeom>
                  </pic:spPr>
                </pic:pic>
              </a:graphicData>
            </a:graphic>
          </wp:inline>
        </w:drawing>
      </w:r>
    </w:p>
    <w:p w14:paraId="5D1A0FFA" w14:textId="61E20924" w:rsidR="00CB7D0B" w:rsidRDefault="00CB7D0B" w:rsidP="00CB7D0B">
      <w:pPr>
        <w:pStyle w:val="Caption"/>
      </w:pPr>
      <w:bookmarkStart w:id="0" w:name="_Ref173397641"/>
      <w:r>
        <w:t xml:space="preserve">Figure </w:t>
      </w:r>
      <w:r>
        <w:fldChar w:fldCharType="begin"/>
      </w:r>
      <w:r>
        <w:instrText xml:space="preserve"> SEQ Figure \* ARABIC </w:instrText>
      </w:r>
      <w:r>
        <w:fldChar w:fldCharType="separate"/>
      </w:r>
      <w:r>
        <w:rPr>
          <w:noProof/>
        </w:rPr>
        <w:t>4</w:t>
      </w:r>
      <w:r>
        <w:fldChar w:fldCharType="end"/>
      </w:r>
      <w:bookmarkEnd w:id="0"/>
      <w:r>
        <w:t xml:space="preserve"> Legacy paging approach and potential adaptations </w:t>
      </w:r>
      <w:proofErr w:type="gramStart"/>
      <w:r>
        <w:t>a and</w:t>
      </w:r>
      <w:proofErr w:type="gramEnd"/>
      <w:r>
        <w:t xml:space="preserve"> b.</w:t>
      </w:r>
    </w:p>
    <w:p w14:paraId="30CBB23F" w14:textId="64F9E36F" w:rsidR="00BC0F7E" w:rsidRPr="00BC0F7E" w:rsidRDefault="00BC0F7E" w:rsidP="00BC0F7E">
      <w:r>
        <w:t xml:space="preserve">Based on the analysis of the </w:t>
      </w:r>
      <w:r>
        <w:rPr>
          <w:sz w:val="22"/>
          <w:szCs w:val="22"/>
        </w:rPr>
        <w:fldChar w:fldCharType="begin"/>
      </w:r>
      <w:r>
        <w:rPr>
          <w:sz w:val="22"/>
          <w:szCs w:val="22"/>
        </w:rPr>
        <w:instrText xml:space="preserve"> REF _Ref173397641 \h </w:instrText>
      </w:r>
      <w:r>
        <w:rPr>
          <w:sz w:val="22"/>
          <w:szCs w:val="22"/>
        </w:rPr>
      </w:r>
      <w:r>
        <w:rPr>
          <w:sz w:val="22"/>
          <w:szCs w:val="22"/>
        </w:rPr>
        <w:fldChar w:fldCharType="separate"/>
      </w:r>
      <w:r>
        <w:t xml:space="preserve">Figure </w:t>
      </w:r>
      <w:r>
        <w:rPr>
          <w:noProof/>
        </w:rPr>
        <w:t>4</w:t>
      </w:r>
      <w:r>
        <w:rPr>
          <w:sz w:val="22"/>
          <w:szCs w:val="22"/>
        </w:rPr>
        <w:fldChar w:fldCharType="end"/>
      </w:r>
      <w:r>
        <w:rPr>
          <w:sz w:val="22"/>
          <w:szCs w:val="22"/>
        </w:rPr>
        <w:t xml:space="preserve"> we provided a set of observations in </w:t>
      </w:r>
      <w:r>
        <w:rPr>
          <w:sz w:val="22"/>
          <w:szCs w:val="22"/>
        </w:rPr>
        <w:fldChar w:fldCharType="begin"/>
      </w:r>
      <w:r>
        <w:rPr>
          <w:sz w:val="22"/>
          <w:szCs w:val="22"/>
        </w:rPr>
        <w:instrText xml:space="preserve"> REF _Ref173398598 \h </w:instrText>
      </w:r>
      <w:r>
        <w:rPr>
          <w:sz w:val="22"/>
          <w:szCs w:val="22"/>
        </w:rPr>
      </w:r>
      <w:r>
        <w:rPr>
          <w:sz w:val="22"/>
          <w:szCs w:val="22"/>
        </w:rPr>
        <w:fldChar w:fldCharType="separate"/>
      </w:r>
      <w:r>
        <w:t xml:space="preserve">Table </w:t>
      </w:r>
      <w:r>
        <w:rPr>
          <w:noProof/>
        </w:rPr>
        <w:t>1</w:t>
      </w:r>
      <w:r>
        <w:rPr>
          <w:sz w:val="22"/>
          <w:szCs w:val="22"/>
        </w:rPr>
        <w:fldChar w:fldCharType="end"/>
      </w:r>
      <w:r>
        <w:rPr>
          <w:sz w:val="22"/>
          <w:szCs w:val="22"/>
        </w:rPr>
        <w:t xml:space="preserve">. </w:t>
      </w:r>
    </w:p>
    <w:p w14:paraId="3495B6CF" w14:textId="18A83A24" w:rsidR="00BC0F7E" w:rsidRDefault="00BC0F7E" w:rsidP="00BC0F7E">
      <w:pPr>
        <w:pStyle w:val="Caption"/>
        <w:keepNext/>
      </w:pPr>
      <w:bookmarkStart w:id="1" w:name="_Ref173398598"/>
      <w:r>
        <w:t xml:space="preserve">Table </w:t>
      </w:r>
      <w:r>
        <w:fldChar w:fldCharType="begin"/>
      </w:r>
      <w:r>
        <w:instrText xml:space="preserve"> SEQ Table \* ARABIC </w:instrText>
      </w:r>
      <w:r>
        <w:fldChar w:fldCharType="separate"/>
      </w:r>
      <w:r>
        <w:rPr>
          <w:noProof/>
        </w:rPr>
        <w:t>1</w:t>
      </w:r>
      <w:r>
        <w:fldChar w:fldCharType="end"/>
      </w:r>
      <w:bookmarkEnd w:id="1"/>
      <w:r>
        <w:t xml:space="preserve"> Comparison of paging adaptation </w:t>
      </w:r>
      <w:proofErr w:type="gramStart"/>
      <w:r>
        <w:t>options a and</w:t>
      </w:r>
      <w:proofErr w:type="gramEnd"/>
      <w:r>
        <w:t xml:space="preserve"> b.</w:t>
      </w:r>
    </w:p>
    <w:tbl>
      <w:tblPr>
        <w:tblW w:w="9550" w:type="dxa"/>
        <w:tblCellMar>
          <w:left w:w="0" w:type="dxa"/>
          <w:right w:w="0" w:type="dxa"/>
        </w:tblCellMar>
        <w:tblLook w:val="0420" w:firstRow="1" w:lastRow="0" w:firstColumn="0" w:lastColumn="0" w:noHBand="0" w:noVBand="1"/>
      </w:tblPr>
      <w:tblGrid>
        <w:gridCol w:w="1390"/>
        <w:gridCol w:w="2322"/>
        <w:gridCol w:w="2780"/>
        <w:gridCol w:w="3058"/>
      </w:tblGrid>
      <w:tr w:rsidR="00BC0F7E" w:rsidRPr="00BC0F7E" w14:paraId="05770AFB" w14:textId="77777777" w:rsidTr="00BC0F7E">
        <w:trPr>
          <w:trHeight w:val="571"/>
        </w:trPr>
        <w:tc>
          <w:tcPr>
            <w:tcW w:w="1390" w:type="dxa"/>
            <w:tcBorders>
              <w:top w:val="single" w:sz="8" w:space="0" w:color="FFFFFF"/>
              <w:left w:val="single" w:sz="8" w:space="0" w:color="FFFFFF"/>
              <w:bottom w:val="single" w:sz="24" w:space="0" w:color="FFFFFF"/>
              <w:right w:val="single" w:sz="8" w:space="0" w:color="FFFFFF"/>
            </w:tcBorders>
            <w:shd w:val="clear" w:color="auto" w:fill="005AFF"/>
            <w:tcMar>
              <w:top w:w="72" w:type="dxa"/>
              <w:left w:w="144" w:type="dxa"/>
              <w:bottom w:w="72" w:type="dxa"/>
              <w:right w:w="144" w:type="dxa"/>
            </w:tcMar>
            <w:hideMark/>
          </w:tcPr>
          <w:p w14:paraId="700390DF" w14:textId="77777777" w:rsidR="00BC0F7E" w:rsidRPr="00BC0F7E" w:rsidRDefault="00BC0F7E" w:rsidP="00BC0F7E">
            <w:pPr>
              <w:rPr>
                <w:sz w:val="18"/>
                <w:szCs w:val="18"/>
              </w:rPr>
            </w:pPr>
          </w:p>
        </w:tc>
        <w:tc>
          <w:tcPr>
            <w:tcW w:w="2322" w:type="dxa"/>
            <w:tcBorders>
              <w:top w:val="single" w:sz="8" w:space="0" w:color="FFFFFF"/>
              <w:left w:val="single" w:sz="8" w:space="0" w:color="FFFFFF"/>
              <w:bottom w:val="single" w:sz="24" w:space="0" w:color="FFFFFF"/>
              <w:right w:val="single" w:sz="8" w:space="0" w:color="FFFFFF"/>
            </w:tcBorders>
            <w:shd w:val="clear" w:color="auto" w:fill="005AFF"/>
            <w:tcMar>
              <w:top w:w="72" w:type="dxa"/>
              <w:left w:w="144" w:type="dxa"/>
              <w:bottom w:w="72" w:type="dxa"/>
              <w:right w:w="144" w:type="dxa"/>
            </w:tcMar>
            <w:hideMark/>
          </w:tcPr>
          <w:p w14:paraId="53D9B3A5" w14:textId="2620845E" w:rsidR="00BC0F7E" w:rsidRPr="00BC0F7E" w:rsidRDefault="00BC0F7E" w:rsidP="00BC0F7E">
            <w:pPr>
              <w:rPr>
                <w:color w:val="FFFFFF" w:themeColor="background1"/>
                <w:sz w:val="18"/>
                <w:szCs w:val="18"/>
              </w:rPr>
            </w:pPr>
            <w:r w:rsidRPr="00BC0F7E">
              <w:rPr>
                <w:b/>
                <w:bCs/>
                <w:color w:val="FFFFFF" w:themeColor="background1"/>
                <w:sz w:val="18"/>
                <w:szCs w:val="18"/>
              </w:rPr>
              <w:t xml:space="preserve">Option </w:t>
            </w:r>
            <w:r>
              <w:rPr>
                <w:b/>
                <w:bCs/>
                <w:color w:val="FFFFFF" w:themeColor="background1"/>
                <w:sz w:val="18"/>
                <w:szCs w:val="18"/>
              </w:rPr>
              <w:t>a</w:t>
            </w:r>
            <w:r w:rsidRPr="00BC0F7E">
              <w:rPr>
                <w:b/>
                <w:bCs/>
                <w:color w:val="FFFFFF" w:themeColor="background1"/>
                <w:sz w:val="18"/>
                <w:szCs w:val="18"/>
              </w:rPr>
              <w:t xml:space="preserve"> (bundled PFs)</w:t>
            </w:r>
          </w:p>
        </w:tc>
        <w:tc>
          <w:tcPr>
            <w:tcW w:w="2780" w:type="dxa"/>
            <w:tcBorders>
              <w:top w:val="single" w:sz="8" w:space="0" w:color="FFFFFF"/>
              <w:left w:val="single" w:sz="8" w:space="0" w:color="FFFFFF"/>
              <w:bottom w:val="single" w:sz="24" w:space="0" w:color="FFFFFF"/>
              <w:right w:val="single" w:sz="8" w:space="0" w:color="FFFFFF"/>
            </w:tcBorders>
            <w:shd w:val="clear" w:color="auto" w:fill="005AFF"/>
            <w:tcMar>
              <w:top w:w="72" w:type="dxa"/>
              <w:left w:w="144" w:type="dxa"/>
              <w:bottom w:w="72" w:type="dxa"/>
              <w:right w:w="144" w:type="dxa"/>
            </w:tcMar>
            <w:hideMark/>
          </w:tcPr>
          <w:p w14:paraId="61CDABDD" w14:textId="5CA87E2A" w:rsidR="00BC0F7E" w:rsidRPr="00BC0F7E" w:rsidRDefault="00BC0F7E" w:rsidP="00BC0F7E">
            <w:pPr>
              <w:rPr>
                <w:color w:val="FFFFFF" w:themeColor="background1"/>
                <w:sz w:val="18"/>
                <w:szCs w:val="18"/>
              </w:rPr>
            </w:pPr>
            <w:r w:rsidRPr="00BC0F7E">
              <w:rPr>
                <w:b/>
                <w:bCs/>
                <w:color w:val="FFFFFF" w:themeColor="background1"/>
                <w:sz w:val="18"/>
                <w:szCs w:val="18"/>
              </w:rPr>
              <w:t xml:space="preserve">Option </w:t>
            </w:r>
            <w:r>
              <w:rPr>
                <w:b/>
                <w:bCs/>
                <w:color w:val="FFFFFF" w:themeColor="background1"/>
                <w:sz w:val="18"/>
                <w:szCs w:val="18"/>
              </w:rPr>
              <w:t>b</w:t>
            </w:r>
            <w:r w:rsidRPr="00BC0F7E">
              <w:rPr>
                <w:b/>
                <w:bCs/>
                <w:color w:val="FFFFFF" w:themeColor="background1"/>
                <w:sz w:val="18"/>
                <w:szCs w:val="18"/>
              </w:rPr>
              <w:t xml:space="preserve"> (extended PF interval)</w:t>
            </w:r>
          </w:p>
        </w:tc>
        <w:tc>
          <w:tcPr>
            <w:tcW w:w="3058" w:type="dxa"/>
            <w:tcBorders>
              <w:top w:val="single" w:sz="8" w:space="0" w:color="FFFFFF"/>
              <w:left w:val="single" w:sz="8" w:space="0" w:color="FFFFFF"/>
              <w:bottom w:val="single" w:sz="24" w:space="0" w:color="FFFFFF"/>
              <w:right w:val="single" w:sz="8" w:space="0" w:color="FFFFFF"/>
            </w:tcBorders>
            <w:shd w:val="clear" w:color="auto" w:fill="005AFF"/>
            <w:tcMar>
              <w:top w:w="72" w:type="dxa"/>
              <w:left w:w="144" w:type="dxa"/>
              <w:bottom w:w="72" w:type="dxa"/>
              <w:right w:w="144" w:type="dxa"/>
            </w:tcMar>
            <w:hideMark/>
          </w:tcPr>
          <w:p w14:paraId="2A471ED8" w14:textId="22DE6966" w:rsidR="00BC0F7E" w:rsidRPr="00BC0F7E" w:rsidRDefault="000028B7" w:rsidP="00BC0F7E">
            <w:pPr>
              <w:rPr>
                <w:color w:val="FFFFFF" w:themeColor="background1"/>
                <w:sz w:val="18"/>
                <w:szCs w:val="18"/>
              </w:rPr>
            </w:pPr>
            <w:r>
              <w:rPr>
                <w:b/>
                <w:bCs/>
                <w:color w:val="FFFFFF" w:themeColor="background1"/>
                <w:sz w:val="18"/>
                <w:szCs w:val="18"/>
              </w:rPr>
              <w:t>Observations</w:t>
            </w:r>
          </w:p>
        </w:tc>
      </w:tr>
      <w:tr w:rsidR="00BC0F7E" w:rsidRPr="00BC0F7E" w14:paraId="18879A48" w14:textId="77777777" w:rsidTr="00BC0F7E">
        <w:trPr>
          <w:trHeight w:val="571"/>
        </w:trPr>
        <w:tc>
          <w:tcPr>
            <w:tcW w:w="1390" w:type="dxa"/>
            <w:tcBorders>
              <w:top w:val="single" w:sz="24"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hideMark/>
          </w:tcPr>
          <w:p w14:paraId="42ECEFBD" w14:textId="77777777" w:rsidR="00BC0F7E" w:rsidRPr="00BC0F7E" w:rsidRDefault="00BC0F7E" w:rsidP="00BC0F7E">
            <w:pPr>
              <w:rPr>
                <w:sz w:val="18"/>
                <w:szCs w:val="18"/>
              </w:rPr>
            </w:pPr>
            <w:r w:rsidRPr="00BC0F7E">
              <w:rPr>
                <w:sz w:val="18"/>
                <w:szCs w:val="18"/>
              </w:rPr>
              <w:t>Specification impact</w:t>
            </w:r>
          </w:p>
        </w:tc>
        <w:tc>
          <w:tcPr>
            <w:tcW w:w="2322" w:type="dxa"/>
            <w:tcBorders>
              <w:top w:val="single" w:sz="24"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hideMark/>
          </w:tcPr>
          <w:p w14:paraId="16B5F41D" w14:textId="173E2EBD" w:rsidR="00BC0F7E" w:rsidRPr="00BC0F7E" w:rsidRDefault="00BC0F7E" w:rsidP="00BC0F7E">
            <w:pPr>
              <w:rPr>
                <w:sz w:val="18"/>
                <w:szCs w:val="18"/>
              </w:rPr>
            </w:pPr>
            <w:r w:rsidRPr="00BC0F7E">
              <w:rPr>
                <w:sz w:val="18"/>
                <w:szCs w:val="18"/>
              </w:rPr>
              <w:t xml:space="preserve">Impact on </w:t>
            </w:r>
            <w:r>
              <w:rPr>
                <w:sz w:val="18"/>
                <w:szCs w:val="18"/>
              </w:rPr>
              <w:t>38.</w:t>
            </w:r>
            <w:r w:rsidRPr="00BC0F7E">
              <w:rPr>
                <w:sz w:val="18"/>
                <w:szCs w:val="18"/>
              </w:rPr>
              <w:t xml:space="preserve">331 and </w:t>
            </w:r>
            <w:r>
              <w:rPr>
                <w:sz w:val="18"/>
                <w:szCs w:val="18"/>
              </w:rPr>
              <w:t>38.</w:t>
            </w:r>
            <w:r w:rsidRPr="00BC0F7E">
              <w:rPr>
                <w:sz w:val="18"/>
                <w:szCs w:val="18"/>
              </w:rPr>
              <w:t xml:space="preserve">304 to define the </w:t>
            </w:r>
            <w:r>
              <w:rPr>
                <w:sz w:val="18"/>
                <w:szCs w:val="18"/>
              </w:rPr>
              <w:t xml:space="preserve">bundle </w:t>
            </w:r>
            <w:r w:rsidRPr="00BC0F7E">
              <w:rPr>
                <w:sz w:val="18"/>
                <w:szCs w:val="18"/>
              </w:rPr>
              <w:t xml:space="preserve">window </w:t>
            </w:r>
          </w:p>
        </w:tc>
        <w:tc>
          <w:tcPr>
            <w:tcW w:w="2780" w:type="dxa"/>
            <w:tcBorders>
              <w:top w:val="single" w:sz="24"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hideMark/>
          </w:tcPr>
          <w:p w14:paraId="5D62B6D4" w14:textId="41433DF8" w:rsidR="00BC0F7E" w:rsidRPr="00BC0F7E" w:rsidRDefault="00BC0F7E" w:rsidP="00BC0F7E">
            <w:pPr>
              <w:rPr>
                <w:sz w:val="18"/>
                <w:szCs w:val="18"/>
              </w:rPr>
            </w:pPr>
            <w:r w:rsidRPr="00BC0F7E">
              <w:rPr>
                <w:sz w:val="18"/>
                <w:szCs w:val="18"/>
              </w:rPr>
              <w:t xml:space="preserve">Additional T and ns values in </w:t>
            </w:r>
            <w:r>
              <w:rPr>
                <w:sz w:val="18"/>
                <w:szCs w:val="18"/>
              </w:rPr>
              <w:t>38.</w:t>
            </w:r>
            <w:r w:rsidRPr="00BC0F7E">
              <w:rPr>
                <w:sz w:val="18"/>
                <w:szCs w:val="18"/>
              </w:rPr>
              <w:t xml:space="preserve">331. The </w:t>
            </w:r>
            <w:r>
              <w:rPr>
                <w:sz w:val="18"/>
                <w:szCs w:val="18"/>
              </w:rPr>
              <w:t>38.</w:t>
            </w:r>
            <w:r w:rsidRPr="00BC0F7E">
              <w:rPr>
                <w:sz w:val="18"/>
                <w:szCs w:val="18"/>
              </w:rPr>
              <w:t xml:space="preserve">304 equations are unchanged </w:t>
            </w:r>
          </w:p>
        </w:tc>
        <w:tc>
          <w:tcPr>
            <w:tcW w:w="3058" w:type="dxa"/>
            <w:tcBorders>
              <w:top w:val="single" w:sz="24"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hideMark/>
          </w:tcPr>
          <w:p w14:paraId="2F0CC8FF" w14:textId="46E45E03" w:rsidR="00BC0F7E" w:rsidRPr="00BC0F7E" w:rsidRDefault="00BC0F7E" w:rsidP="00BC0F7E">
            <w:pPr>
              <w:rPr>
                <w:sz w:val="18"/>
                <w:szCs w:val="18"/>
              </w:rPr>
            </w:pPr>
            <w:r w:rsidRPr="00BC0F7E">
              <w:rPr>
                <w:sz w:val="18"/>
                <w:szCs w:val="18"/>
              </w:rPr>
              <w:t xml:space="preserve">Option </w:t>
            </w:r>
            <w:r>
              <w:rPr>
                <w:sz w:val="18"/>
                <w:szCs w:val="18"/>
              </w:rPr>
              <w:t>b</w:t>
            </w:r>
            <w:r w:rsidRPr="00BC0F7E">
              <w:rPr>
                <w:sz w:val="18"/>
                <w:szCs w:val="18"/>
              </w:rPr>
              <w:t xml:space="preserve"> is simpler to implement in specification</w:t>
            </w:r>
          </w:p>
        </w:tc>
      </w:tr>
      <w:tr w:rsidR="00BC0F7E" w:rsidRPr="00BC0F7E" w14:paraId="226C02A8" w14:textId="77777777" w:rsidTr="00BC0F7E">
        <w:trPr>
          <w:trHeight w:val="571"/>
        </w:trPr>
        <w:tc>
          <w:tcPr>
            <w:tcW w:w="1390" w:type="dxa"/>
            <w:tcBorders>
              <w:top w:val="single" w:sz="8" w:space="0" w:color="FFFFFF"/>
              <w:left w:val="single" w:sz="8" w:space="0" w:color="FFFFFF"/>
              <w:bottom w:val="single" w:sz="8" w:space="0" w:color="FFFFFF"/>
              <w:right w:val="single" w:sz="8" w:space="0" w:color="FFFFFF"/>
            </w:tcBorders>
            <w:shd w:val="clear" w:color="auto" w:fill="E7EAFF"/>
            <w:tcMar>
              <w:top w:w="72" w:type="dxa"/>
              <w:left w:w="144" w:type="dxa"/>
              <w:bottom w:w="72" w:type="dxa"/>
              <w:right w:w="144" w:type="dxa"/>
            </w:tcMar>
            <w:hideMark/>
          </w:tcPr>
          <w:p w14:paraId="2536861D" w14:textId="77777777" w:rsidR="00BC0F7E" w:rsidRPr="00BC0F7E" w:rsidRDefault="00BC0F7E" w:rsidP="00BC0F7E">
            <w:pPr>
              <w:rPr>
                <w:sz w:val="18"/>
                <w:szCs w:val="18"/>
              </w:rPr>
            </w:pPr>
            <w:r w:rsidRPr="00BC0F7E">
              <w:rPr>
                <w:sz w:val="18"/>
                <w:szCs w:val="18"/>
              </w:rPr>
              <w:t>PO resources</w:t>
            </w:r>
          </w:p>
        </w:tc>
        <w:tc>
          <w:tcPr>
            <w:tcW w:w="2322" w:type="dxa"/>
            <w:tcBorders>
              <w:top w:val="single" w:sz="8" w:space="0" w:color="FFFFFF"/>
              <w:left w:val="single" w:sz="8" w:space="0" w:color="FFFFFF"/>
              <w:bottom w:val="single" w:sz="8" w:space="0" w:color="FFFFFF"/>
              <w:right w:val="single" w:sz="8" w:space="0" w:color="FFFFFF"/>
            </w:tcBorders>
            <w:shd w:val="clear" w:color="auto" w:fill="E7EAFF"/>
            <w:tcMar>
              <w:top w:w="72" w:type="dxa"/>
              <w:left w:w="144" w:type="dxa"/>
              <w:bottom w:w="72" w:type="dxa"/>
              <w:right w:w="144" w:type="dxa"/>
            </w:tcMar>
            <w:hideMark/>
          </w:tcPr>
          <w:p w14:paraId="37C3C4BA" w14:textId="77777777" w:rsidR="00BC0F7E" w:rsidRPr="00BC0F7E" w:rsidRDefault="00BC0F7E" w:rsidP="00BC0F7E">
            <w:pPr>
              <w:rPr>
                <w:sz w:val="18"/>
                <w:szCs w:val="18"/>
              </w:rPr>
            </w:pPr>
            <w:r w:rsidRPr="00BC0F7E">
              <w:rPr>
                <w:sz w:val="18"/>
                <w:szCs w:val="18"/>
              </w:rPr>
              <w:t>Legacy number of POs per PF and legacy number of PFs per paging cycle</w:t>
            </w:r>
          </w:p>
        </w:tc>
        <w:tc>
          <w:tcPr>
            <w:tcW w:w="2780" w:type="dxa"/>
            <w:tcBorders>
              <w:top w:val="single" w:sz="8" w:space="0" w:color="FFFFFF"/>
              <w:left w:val="single" w:sz="8" w:space="0" w:color="FFFFFF"/>
              <w:bottom w:val="single" w:sz="8" w:space="0" w:color="FFFFFF"/>
              <w:right w:val="single" w:sz="8" w:space="0" w:color="FFFFFF"/>
            </w:tcBorders>
            <w:shd w:val="clear" w:color="auto" w:fill="E7EAFF"/>
            <w:tcMar>
              <w:top w:w="72" w:type="dxa"/>
              <w:left w:w="144" w:type="dxa"/>
              <w:bottom w:w="72" w:type="dxa"/>
              <w:right w:w="144" w:type="dxa"/>
            </w:tcMar>
            <w:hideMark/>
          </w:tcPr>
          <w:p w14:paraId="6C5EE444" w14:textId="77777777" w:rsidR="00BC0F7E" w:rsidRPr="00BC0F7E" w:rsidRDefault="00BC0F7E" w:rsidP="00BC0F7E">
            <w:pPr>
              <w:rPr>
                <w:sz w:val="18"/>
                <w:szCs w:val="18"/>
              </w:rPr>
            </w:pPr>
            <w:r w:rsidRPr="00BC0F7E">
              <w:rPr>
                <w:sz w:val="18"/>
                <w:szCs w:val="18"/>
              </w:rPr>
              <w:t>Increased number of POs per PF, but less PFs per paging cycle</w:t>
            </w:r>
          </w:p>
        </w:tc>
        <w:tc>
          <w:tcPr>
            <w:tcW w:w="3058" w:type="dxa"/>
            <w:tcBorders>
              <w:top w:val="single" w:sz="8" w:space="0" w:color="FFFFFF"/>
              <w:left w:val="single" w:sz="8" w:space="0" w:color="FFFFFF"/>
              <w:bottom w:val="single" w:sz="8" w:space="0" w:color="FFFFFF"/>
              <w:right w:val="single" w:sz="8" w:space="0" w:color="FFFFFF"/>
            </w:tcBorders>
            <w:shd w:val="clear" w:color="auto" w:fill="E7EAFF"/>
            <w:tcMar>
              <w:top w:w="72" w:type="dxa"/>
              <w:left w:w="144" w:type="dxa"/>
              <w:bottom w:w="72" w:type="dxa"/>
              <w:right w:w="144" w:type="dxa"/>
            </w:tcMar>
            <w:hideMark/>
          </w:tcPr>
          <w:p w14:paraId="0F67F699" w14:textId="48EC03DE" w:rsidR="00BC0F7E" w:rsidRPr="00BC0F7E" w:rsidRDefault="00BC0F7E" w:rsidP="00BC0F7E">
            <w:pPr>
              <w:rPr>
                <w:sz w:val="18"/>
                <w:szCs w:val="18"/>
              </w:rPr>
            </w:pPr>
            <w:r w:rsidRPr="00BC0F7E">
              <w:rPr>
                <w:sz w:val="18"/>
                <w:szCs w:val="18"/>
              </w:rPr>
              <w:t xml:space="preserve">No difference between </w:t>
            </w:r>
            <w:r>
              <w:rPr>
                <w:sz w:val="18"/>
                <w:szCs w:val="18"/>
              </w:rPr>
              <w:t>a</w:t>
            </w:r>
            <w:r w:rsidRPr="00BC0F7E">
              <w:rPr>
                <w:sz w:val="18"/>
                <w:szCs w:val="18"/>
              </w:rPr>
              <w:t xml:space="preserve"> and </w:t>
            </w:r>
            <w:r>
              <w:rPr>
                <w:sz w:val="18"/>
                <w:szCs w:val="18"/>
              </w:rPr>
              <w:t>b</w:t>
            </w:r>
            <w:r w:rsidRPr="00BC0F7E">
              <w:rPr>
                <w:sz w:val="18"/>
                <w:szCs w:val="18"/>
              </w:rPr>
              <w:t xml:space="preserve"> i.e. also no delay difference</w:t>
            </w:r>
            <w:r>
              <w:rPr>
                <w:sz w:val="18"/>
                <w:szCs w:val="18"/>
              </w:rPr>
              <w:t>, but the distribution of POs in option b may negatively impact the network sleeping opportunities.</w:t>
            </w:r>
          </w:p>
        </w:tc>
      </w:tr>
      <w:tr w:rsidR="00BC0F7E" w:rsidRPr="00BC0F7E" w14:paraId="4904A57A" w14:textId="77777777" w:rsidTr="00BC0F7E">
        <w:trPr>
          <w:trHeight w:val="571"/>
        </w:trPr>
        <w:tc>
          <w:tcPr>
            <w:tcW w:w="1390" w:type="dxa"/>
            <w:tcBorders>
              <w:top w:val="single" w:sz="8"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hideMark/>
          </w:tcPr>
          <w:p w14:paraId="24AEADEA" w14:textId="77777777" w:rsidR="00BC0F7E" w:rsidRPr="00BC0F7E" w:rsidRDefault="00BC0F7E" w:rsidP="00BC0F7E">
            <w:pPr>
              <w:rPr>
                <w:sz w:val="18"/>
                <w:szCs w:val="18"/>
              </w:rPr>
            </w:pPr>
            <w:r w:rsidRPr="00BC0F7E">
              <w:rPr>
                <w:sz w:val="18"/>
                <w:szCs w:val="18"/>
              </w:rPr>
              <w:t>RACH resources</w:t>
            </w:r>
          </w:p>
        </w:tc>
        <w:tc>
          <w:tcPr>
            <w:tcW w:w="2322" w:type="dxa"/>
            <w:tcBorders>
              <w:top w:val="single" w:sz="8"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hideMark/>
          </w:tcPr>
          <w:p w14:paraId="5C52BD67" w14:textId="4568D669" w:rsidR="00BC0F7E" w:rsidRPr="00BC0F7E" w:rsidRDefault="00BC0F7E" w:rsidP="00BC0F7E">
            <w:pPr>
              <w:rPr>
                <w:sz w:val="18"/>
                <w:szCs w:val="18"/>
              </w:rPr>
            </w:pPr>
            <w:r w:rsidRPr="00BC0F7E">
              <w:rPr>
                <w:sz w:val="18"/>
                <w:szCs w:val="18"/>
              </w:rPr>
              <w:t>RACH resources related to one PF can time-wise overlap with next PF</w:t>
            </w:r>
            <w:r>
              <w:rPr>
                <w:sz w:val="18"/>
                <w:szCs w:val="18"/>
              </w:rPr>
              <w:t>/POs</w:t>
            </w:r>
            <w:r w:rsidRPr="00BC0F7E">
              <w:rPr>
                <w:sz w:val="18"/>
                <w:szCs w:val="18"/>
              </w:rPr>
              <w:t xml:space="preserve"> in the</w:t>
            </w:r>
            <w:r>
              <w:rPr>
                <w:sz w:val="18"/>
                <w:szCs w:val="18"/>
              </w:rPr>
              <w:t xml:space="preserve"> bundle</w:t>
            </w:r>
            <w:r w:rsidRPr="00BC0F7E">
              <w:rPr>
                <w:sz w:val="18"/>
                <w:szCs w:val="18"/>
              </w:rPr>
              <w:t xml:space="preserve"> window</w:t>
            </w:r>
          </w:p>
        </w:tc>
        <w:tc>
          <w:tcPr>
            <w:tcW w:w="2780" w:type="dxa"/>
            <w:tcBorders>
              <w:top w:val="single" w:sz="8"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hideMark/>
          </w:tcPr>
          <w:p w14:paraId="6D38F8A0" w14:textId="77777777" w:rsidR="00BC0F7E" w:rsidRPr="00BC0F7E" w:rsidRDefault="00BC0F7E" w:rsidP="00BC0F7E">
            <w:pPr>
              <w:rPr>
                <w:sz w:val="18"/>
                <w:szCs w:val="18"/>
              </w:rPr>
            </w:pPr>
            <w:r w:rsidRPr="00BC0F7E">
              <w:rPr>
                <w:sz w:val="18"/>
                <w:szCs w:val="18"/>
              </w:rPr>
              <w:t>RACH resources are distributed according to the extended PF interval</w:t>
            </w:r>
          </w:p>
        </w:tc>
        <w:tc>
          <w:tcPr>
            <w:tcW w:w="3058" w:type="dxa"/>
            <w:tcBorders>
              <w:top w:val="single" w:sz="8"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hideMark/>
          </w:tcPr>
          <w:p w14:paraId="3DA6F4A8" w14:textId="33347EB8" w:rsidR="00BC0F7E" w:rsidRPr="00BC0F7E" w:rsidRDefault="00BC0F7E" w:rsidP="00BC0F7E">
            <w:pPr>
              <w:rPr>
                <w:sz w:val="18"/>
                <w:szCs w:val="18"/>
              </w:rPr>
            </w:pPr>
            <w:r w:rsidRPr="00BC0F7E">
              <w:rPr>
                <w:sz w:val="18"/>
                <w:szCs w:val="18"/>
              </w:rPr>
              <w:t xml:space="preserve">The number of RACH resources is </w:t>
            </w:r>
            <w:r w:rsidR="000028B7">
              <w:rPr>
                <w:sz w:val="18"/>
                <w:szCs w:val="18"/>
              </w:rPr>
              <w:t>the same for both options</w:t>
            </w:r>
            <w:r w:rsidRPr="00BC0F7E">
              <w:rPr>
                <w:sz w:val="18"/>
                <w:szCs w:val="18"/>
              </w:rPr>
              <w:t xml:space="preserve">, but in option </w:t>
            </w:r>
            <w:r>
              <w:rPr>
                <w:sz w:val="18"/>
                <w:szCs w:val="18"/>
              </w:rPr>
              <w:t>b</w:t>
            </w:r>
            <w:r w:rsidRPr="00BC0F7E">
              <w:rPr>
                <w:sz w:val="18"/>
                <w:szCs w:val="18"/>
              </w:rPr>
              <w:t xml:space="preserve"> they do not overlap with other NW signaling and thus have higher energy cost</w:t>
            </w:r>
          </w:p>
        </w:tc>
      </w:tr>
      <w:tr w:rsidR="00BC0F7E" w:rsidRPr="00BC0F7E" w14:paraId="49F91831" w14:textId="77777777" w:rsidTr="00BC0F7E">
        <w:trPr>
          <w:trHeight w:val="571"/>
        </w:trPr>
        <w:tc>
          <w:tcPr>
            <w:tcW w:w="1390" w:type="dxa"/>
            <w:tcBorders>
              <w:top w:val="single" w:sz="8" w:space="0" w:color="FFFFFF"/>
              <w:left w:val="single" w:sz="8" w:space="0" w:color="FFFFFF"/>
              <w:bottom w:val="single" w:sz="8" w:space="0" w:color="FFFFFF"/>
              <w:right w:val="single" w:sz="8" w:space="0" w:color="FFFFFF"/>
            </w:tcBorders>
            <w:shd w:val="clear" w:color="auto" w:fill="E7EAFF"/>
            <w:tcMar>
              <w:top w:w="72" w:type="dxa"/>
              <w:left w:w="144" w:type="dxa"/>
              <w:bottom w:w="72" w:type="dxa"/>
              <w:right w:w="144" w:type="dxa"/>
            </w:tcMar>
            <w:hideMark/>
          </w:tcPr>
          <w:p w14:paraId="524D07FF" w14:textId="77777777" w:rsidR="00BC0F7E" w:rsidRPr="00BC0F7E" w:rsidRDefault="00BC0F7E" w:rsidP="00BC0F7E">
            <w:pPr>
              <w:rPr>
                <w:sz w:val="18"/>
                <w:szCs w:val="18"/>
              </w:rPr>
            </w:pPr>
            <w:r w:rsidRPr="00BC0F7E">
              <w:rPr>
                <w:sz w:val="18"/>
                <w:szCs w:val="18"/>
              </w:rPr>
              <w:t>Reference signal resources (SSB/TRS)</w:t>
            </w:r>
          </w:p>
        </w:tc>
        <w:tc>
          <w:tcPr>
            <w:tcW w:w="2322" w:type="dxa"/>
            <w:tcBorders>
              <w:top w:val="single" w:sz="8" w:space="0" w:color="FFFFFF"/>
              <w:left w:val="single" w:sz="8" w:space="0" w:color="FFFFFF"/>
              <w:bottom w:val="single" w:sz="8" w:space="0" w:color="FFFFFF"/>
              <w:right w:val="single" w:sz="8" w:space="0" w:color="FFFFFF"/>
            </w:tcBorders>
            <w:shd w:val="clear" w:color="auto" w:fill="E7EAFF"/>
            <w:tcMar>
              <w:top w:w="72" w:type="dxa"/>
              <w:left w:w="144" w:type="dxa"/>
              <w:bottom w:w="72" w:type="dxa"/>
              <w:right w:w="144" w:type="dxa"/>
            </w:tcMar>
            <w:hideMark/>
          </w:tcPr>
          <w:p w14:paraId="703890D5" w14:textId="679BEC45" w:rsidR="00BC0F7E" w:rsidRPr="00BC0F7E" w:rsidRDefault="00BC0F7E" w:rsidP="00BC0F7E">
            <w:pPr>
              <w:rPr>
                <w:sz w:val="18"/>
                <w:szCs w:val="18"/>
              </w:rPr>
            </w:pPr>
            <w:r w:rsidRPr="00BC0F7E">
              <w:rPr>
                <w:sz w:val="18"/>
                <w:szCs w:val="18"/>
              </w:rPr>
              <w:t xml:space="preserve">Reference signals </w:t>
            </w:r>
            <w:r>
              <w:rPr>
                <w:sz w:val="18"/>
                <w:szCs w:val="18"/>
              </w:rPr>
              <w:t xml:space="preserve">(TRS) </w:t>
            </w:r>
            <w:r w:rsidRPr="00BC0F7E">
              <w:rPr>
                <w:sz w:val="18"/>
                <w:szCs w:val="18"/>
              </w:rPr>
              <w:t xml:space="preserve">can be tailored to the </w:t>
            </w:r>
            <w:r>
              <w:rPr>
                <w:sz w:val="18"/>
                <w:szCs w:val="18"/>
              </w:rPr>
              <w:t xml:space="preserve">bundle </w:t>
            </w:r>
            <w:r w:rsidRPr="00BC0F7E">
              <w:rPr>
                <w:sz w:val="18"/>
                <w:szCs w:val="18"/>
              </w:rPr>
              <w:t>window start</w:t>
            </w:r>
          </w:p>
        </w:tc>
        <w:tc>
          <w:tcPr>
            <w:tcW w:w="2780" w:type="dxa"/>
            <w:tcBorders>
              <w:top w:val="single" w:sz="8" w:space="0" w:color="FFFFFF"/>
              <w:left w:val="single" w:sz="8" w:space="0" w:color="FFFFFF"/>
              <w:bottom w:val="single" w:sz="8" w:space="0" w:color="FFFFFF"/>
              <w:right w:val="single" w:sz="8" w:space="0" w:color="FFFFFF"/>
            </w:tcBorders>
            <w:shd w:val="clear" w:color="auto" w:fill="E7EAFF"/>
            <w:tcMar>
              <w:top w:w="72" w:type="dxa"/>
              <w:left w:w="144" w:type="dxa"/>
              <w:bottom w:w="72" w:type="dxa"/>
              <w:right w:w="144" w:type="dxa"/>
            </w:tcMar>
            <w:hideMark/>
          </w:tcPr>
          <w:p w14:paraId="45193B5B" w14:textId="610DE201" w:rsidR="00BC0F7E" w:rsidRPr="00BC0F7E" w:rsidRDefault="00BC0F7E" w:rsidP="00BC0F7E">
            <w:pPr>
              <w:rPr>
                <w:sz w:val="18"/>
                <w:szCs w:val="18"/>
              </w:rPr>
            </w:pPr>
            <w:r w:rsidRPr="00BC0F7E">
              <w:rPr>
                <w:sz w:val="18"/>
                <w:szCs w:val="18"/>
              </w:rPr>
              <w:t xml:space="preserve">Reference signals </w:t>
            </w:r>
            <w:r>
              <w:rPr>
                <w:sz w:val="18"/>
                <w:szCs w:val="18"/>
              </w:rPr>
              <w:t xml:space="preserve">(TRS) </w:t>
            </w:r>
            <w:r w:rsidRPr="00BC0F7E">
              <w:rPr>
                <w:sz w:val="18"/>
                <w:szCs w:val="18"/>
              </w:rPr>
              <w:t>are distributed according to the extended PF interval</w:t>
            </w:r>
          </w:p>
        </w:tc>
        <w:tc>
          <w:tcPr>
            <w:tcW w:w="3058" w:type="dxa"/>
            <w:tcBorders>
              <w:top w:val="single" w:sz="8" w:space="0" w:color="FFFFFF"/>
              <w:left w:val="single" w:sz="8" w:space="0" w:color="FFFFFF"/>
              <w:bottom w:val="single" w:sz="8" w:space="0" w:color="FFFFFF"/>
              <w:right w:val="single" w:sz="8" w:space="0" w:color="FFFFFF"/>
            </w:tcBorders>
            <w:shd w:val="clear" w:color="auto" w:fill="E7EAFF"/>
            <w:tcMar>
              <w:top w:w="72" w:type="dxa"/>
              <w:left w:w="144" w:type="dxa"/>
              <w:bottom w:w="72" w:type="dxa"/>
              <w:right w:w="144" w:type="dxa"/>
            </w:tcMar>
            <w:hideMark/>
          </w:tcPr>
          <w:p w14:paraId="7406F530" w14:textId="38CB174C" w:rsidR="00BC0F7E" w:rsidRPr="00BC0F7E" w:rsidRDefault="00BC0F7E" w:rsidP="00BC0F7E">
            <w:pPr>
              <w:rPr>
                <w:sz w:val="18"/>
                <w:szCs w:val="18"/>
              </w:rPr>
            </w:pPr>
            <w:r w:rsidRPr="00BC0F7E">
              <w:rPr>
                <w:sz w:val="18"/>
                <w:szCs w:val="18"/>
              </w:rPr>
              <w:t xml:space="preserve">In option </w:t>
            </w:r>
            <w:r>
              <w:rPr>
                <w:sz w:val="18"/>
                <w:szCs w:val="18"/>
              </w:rPr>
              <w:t>b</w:t>
            </w:r>
            <w:r w:rsidRPr="00BC0F7E">
              <w:rPr>
                <w:sz w:val="18"/>
                <w:szCs w:val="18"/>
              </w:rPr>
              <w:t xml:space="preserve"> more reference signals</w:t>
            </w:r>
            <w:r>
              <w:rPr>
                <w:sz w:val="18"/>
                <w:szCs w:val="18"/>
              </w:rPr>
              <w:t xml:space="preserve"> (TRS)</w:t>
            </w:r>
            <w:r w:rsidRPr="00BC0F7E">
              <w:rPr>
                <w:sz w:val="18"/>
                <w:szCs w:val="18"/>
              </w:rPr>
              <w:t xml:space="preserve"> are </w:t>
            </w:r>
            <w:proofErr w:type="gramStart"/>
            <w:r w:rsidRPr="00BC0F7E">
              <w:rPr>
                <w:sz w:val="18"/>
                <w:szCs w:val="18"/>
              </w:rPr>
              <w:t>needed</w:t>
            </w:r>
            <w:proofErr w:type="gramEnd"/>
            <w:r w:rsidRPr="00BC0F7E">
              <w:rPr>
                <w:sz w:val="18"/>
                <w:szCs w:val="18"/>
              </w:rPr>
              <w:t xml:space="preserve"> and they will not overlap with other NW signaling and thus have higher energy cost</w:t>
            </w:r>
          </w:p>
        </w:tc>
      </w:tr>
    </w:tbl>
    <w:p w14:paraId="6306C48F" w14:textId="03F41931" w:rsidR="00D33DAF" w:rsidRDefault="00BC0F7E" w:rsidP="005C2513">
      <w:pPr>
        <w:rPr>
          <w:sz w:val="22"/>
          <w:szCs w:val="22"/>
        </w:rPr>
      </w:pPr>
      <w:r>
        <w:rPr>
          <w:sz w:val="22"/>
          <w:szCs w:val="22"/>
        </w:rPr>
        <w:t>In summary, there will be no delay difference between the two options, but option b is simpler to implement in the specification. However, from network energy saving point of view, the option a is advantageous because it allows the RACH procedure to overlap in the time domain with the bundled paging frames/occasions and furthermore requires less TRS, or at least enable the TRS to also overlap with other transmissions. In addition, t</w:t>
      </w:r>
      <w:r w:rsidR="003344F6" w:rsidRPr="00B72EBA">
        <w:rPr>
          <w:sz w:val="22"/>
          <w:szCs w:val="22"/>
        </w:rPr>
        <w:t xml:space="preserve">he option </w:t>
      </w:r>
      <w:r w:rsidR="003344F6" w:rsidRPr="00B72EBA">
        <w:rPr>
          <w:i/>
          <w:iCs/>
          <w:sz w:val="22"/>
          <w:szCs w:val="22"/>
        </w:rPr>
        <w:t>b</w:t>
      </w:r>
      <w:r w:rsidR="003344F6" w:rsidRPr="00B72EBA">
        <w:rPr>
          <w:sz w:val="22"/>
          <w:szCs w:val="22"/>
        </w:rPr>
        <w:t xml:space="preserve">, where the interval between PFs is increased and compensated by </w:t>
      </w:r>
      <w:r w:rsidR="00A26AAA" w:rsidRPr="00B72EBA">
        <w:rPr>
          <w:sz w:val="22"/>
          <w:szCs w:val="22"/>
        </w:rPr>
        <w:t>more POs per PF may result in a significant distribution of POs over time</w:t>
      </w:r>
      <w:r w:rsidR="00CA42B3" w:rsidRPr="00B72EBA">
        <w:rPr>
          <w:sz w:val="22"/>
          <w:szCs w:val="22"/>
        </w:rPr>
        <w:t>, depending on the configured search space</w:t>
      </w:r>
      <w:r w:rsidR="00A26AAA" w:rsidRPr="00B72EBA">
        <w:rPr>
          <w:sz w:val="22"/>
          <w:szCs w:val="22"/>
        </w:rPr>
        <w:t xml:space="preserve">, which could impact the </w:t>
      </w:r>
      <w:r>
        <w:rPr>
          <w:sz w:val="22"/>
          <w:szCs w:val="22"/>
        </w:rPr>
        <w:t>network</w:t>
      </w:r>
      <w:r w:rsidR="00A26AAA" w:rsidRPr="00B72EBA">
        <w:rPr>
          <w:sz w:val="22"/>
          <w:szCs w:val="22"/>
        </w:rPr>
        <w:t>’s sleeping opportunities</w:t>
      </w:r>
      <w:r w:rsidR="006833B7" w:rsidRPr="00B72EBA">
        <w:rPr>
          <w:sz w:val="22"/>
          <w:szCs w:val="22"/>
        </w:rPr>
        <w:t xml:space="preserve"> negatively</w:t>
      </w:r>
      <w:r w:rsidR="00A26AAA" w:rsidRPr="00B72EBA">
        <w:rPr>
          <w:sz w:val="22"/>
          <w:szCs w:val="22"/>
        </w:rPr>
        <w:t>.</w:t>
      </w:r>
    </w:p>
    <w:p w14:paraId="73FBA8D3" w14:textId="1E1A7599" w:rsidR="000028B7" w:rsidRPr="000028B7" w:rsidRDefault="006540AA" w:rsidP="000028B7">
      <w:pPr>
        <w:rPr>
          <w:sz w:val="22"/>
          <w:szCs w:val="22"/>
        </w:rPr>
      </w:pPr>
      <w:r w:rsidRPr="00B72EBA">
        <w:rPr>
          <w:b/>
          <w:bCs/>
          <w:sz w:val="22"/>
          <w:szCs w:val="22"/>
        </w:rPr>
        <w:t>Observation</w:t>
      </w:r>
      <w:r w:rsidR="00CC4CAF">
        <w:rPr>
          <w:b/>
          <w:bCs/>
          <w:sz w:val="22"/>
          <w:szCs w:val="22"/>
        </w:rPr>
        <w:t xml:space="preserve"> </w:t>
      </w:r>
      <w:r w:rsidR="0045434A">
        <w:rPr>
          <w:b/>
          <w:bCs/>
          <w:sz w:val="22"/>
          <w:szCs w:val="22"/>
        </w:rPr>
        <w:t>6</w:t>
      </w:r>
      <w:r w:rsidRPr="00B72EBA">
        <w:rPr>
          <w:b/>
          <w:bCs/>
          <w:sz w:val="22"/>
          <w:szCs w:val="22"/>
        </w:rPr>
        <w:t xml:space="preserve">: </w:t>
      </w:r>
      <w:r w:rsidR="000028B7" w:rsidRPr="000028B7">
        <w:rPr>
          <w:sz w:val="22"/>
          <w:szCs w:val="22"/>
        </w:rPr>
        <w:t>Option b is simpler to implement in specification</w:t>
      </w:r>
      <w:r w:rsidR="000028B7">
        <w:rPr>
          <w:sz w:val="22"/>
          <w:szCs w:val="22"/>
        </w:rPr>
        <w:t xml:space="preserve"> than option </w:t>
      </w:r>
      <w:proofErr w:type="gramStart"/>
      <w:r w:rsidR="000028B7">
        <w:rPr>
          <w:sz w:val="22"/>
          <w:szCs w:val="22"/>
        </w:rPr>
        <w:t>a for</w:t>
      </w:r>
      <w:proofErr w:type="gramEnd"/>
      <w:r w:rsidR="000028B7">
        <w:rPr>
          <w:sz w:val="22"/>
          <w:szCs w:val="22"/>
        </w:rPr>
        <w:t xml:space="preserve"> paging adaptation.</w:t>
      </w:r>
    </w:p>
    <w:p w14:paraId="1888A356" w14:textId="781E34F0" w:rsidR="000028B7" w:rsidRPr="000028B7" w:rsidRDefault="000028B7" w:rsidP="000028B7">
      <w:pPr>
        <w:rPr>
          <w:sz w:val="22"/>
          <w:szCs w:val="22"/>
        </w:rPr>
      </w:pPr>
      <w:r w:rsidRPr="00B72EBA">
        <w:rPr>
          <w:b/>
          <w:bCs/>
          <w:sz w:val="22"/>
          <w:szCs w:val="22"/>
        </w:rPr>
        <w:lastRenderedPageBreak/>
        <w:t>Observation</w:t>
      </w:r>
      <w:r>
        <w:rPr>
          <w:b/>
          <w:bCs/>
          <w:sz w:val="22"/>
          <w:szCs w:val="22"/>
        </w:rPr>
        <w:t xml:space="preserve"> </w:t>
      </w:r>
      <w:r w:rsidR="0045434A">
        <w:rPr>
          <w:b/>
          <w:bCs/>
          <w:sz w:val="22"/>
          <w:szCs w:val="22"/>
        </w:rPr>
        <w:t>7</w:t>
      </w:r>
      <w:r w:rsidRPr="00B72EBA">
        <w:rPr>
          <w:b/>
          <w:bCs/>
          <w:sz w:val="22"/>
          <w:szCs w:val="22"/>
        </w:rPr>
        <w:t>:</w:t>
      </w:r>
      <w:r>
        <w:rPr>
          <w:b/>
          <w:bCs/>
          <w:sz w:val="22"/>
          <w:szCs w:val="22"/>
        </w:rPr>
        <w:t xml:space="preserve"> </w:t>
      </w:r>
      <w:r>
        <w:rPr>
          <w:sz w:val="22"/>
          <w:szCs w:val="22"/>
        </w:rPr>
        <w:t>There is n</w:t>
      </w:r>
      <w:r w:rsidRPr="000028B7">
        <w:rPr>
          <w:sz w:val="22"/>
          <w:szCs w:val="22"/>
        </w:rPr>
        <w:t xml:space="preserve">o </w:t>
      </w:r>
      <w:r>
        <w:rPr>
          <w:sz w:val="22"/>
          <w:szCs w:val="22"/>
        </w:rPr>
        <w:t xml:space="preserve">paging delay </w:t>
      </w:r>
      <w:r w:rsidRPr="000028B7">
        <w:rPr>
          <w:sz w:val="22"/>
          <w:szCs w:val="22"/>
        </w:rPr>
        <w:t>difference between a and b, but the distribution of POs in option b may negatively impact the network sleeping opportunities.</w:t>
      </w:r>
    </w:p>
    <w:p w14:paraId="4CEED74F" w14:textId="39E1CA88" w:rsidR="000028B7" w:rsidRPr="000028B7" w:rsidRDefault="000028B7" w:rsidP="000028B7">
      <w:pPr>
        <w:rPr>
          <w:sz w:val="22"/>
          <w:szCs w:val="22"/>
        </w:rPr>
      </w:pPr>
      <w:r w:rsidRPr="00B72EBA">
        <w:rPr>
          <w:b/>
          <w:bCs/>
          <w:sz w:val="22"/>
          <w:szCs w:val="22"/>
        </w:rPr>
        <w:t>Observation</w:t>
      </w:r>
      <w:r>
        <w:rPr>
          <w:b/>
          <w:bCs/>
          <w:sz w:val="22"/>
          <w:szCs w:val="22"/>
        </w:rPr>
        <w:t xml:space="preserve"> </w:t>
      </w:r>
      <w:r w:rsidR="0045434A">
        <w:rPr>
          <w:b/>
          <w:bCs/>
          <w:sz w:val="22"/>
          <w:szCs w:val="22"/>
        </w:rPr>
        <w:t>8</w:t>
      </w:r>
      <w:r w:rsidRPr="00B72EBA">
        <w:rPr>
          <w:b/>
          <w:bCs/>
          <w:sz w:val="22"/>
          <w:szCs w:val="22"/>
        </w:rPr>
        <w:t>:</w:t>
      </w:r>
      <w:r>
        <w:rPr>
          <w:b/>
          <w:bCs/>
          <w:sz w:val="22"/>
          <w:szCs w:val="22"/>
        </w:rPr>
        <w:t xml:space="preserve"> </w:t>
      </w:r>
      <w:r w:rsidRPr="000028B7">
        <w:rPr>
          <w:sz w:val="22"/>
          <w:szCs w:val="22"/>
        </w:rPr>
        <w:t xml:space="preserve">The number of RACH resources is </w:t>
      </w:r>
      <w:r>
        <w:rPr>
          <w:sz w:val="22"/>
          <w:szCs w:val="22"/>
        </w:rPr>
        <w:t>the same for both options</w:t>
      </w:r>
      <w:r w:rsidRPr="000028B7">
        <w:rPr>
          <w:sz w:val="22"/>
          <w:szCs w:val="22"/>
        </w:rPr>
        <w:t>, but in option b they do not overlap with other NW signaling and thus have higher energy cost</w:t>
      </w:r>
    </w:p>
    <w:p w14:paraId="4C0BDEF8" w14:textId="26239A40" w:rsidR="000028B7" w:rsidRDefault="000028B7" w:rsidP="000028B7">
      <w:pPr>
        <w:rPr>
          <w:sz w:val="22"/>
          <w:szCs w:val="22"/>
        </w:rPr>
      </w:pPr>
      <w:r w:rsidRPr="00B72EBA">
        <w:rPr>
          <w:b/>
          <w:bCs/>
          <w:sz w:val="22"/>
          <w:szCs w:val="22"/>
        </w:rPr>
        <w:t>Observation</w:t>
      </w:r>
      <w:r>
        <w:rPr>
          <w:b/>
          <w:bCs/>
          <w:sz w:val="22"/>
          <w:szCs w:val="22"/>
        </w:rPr>
        <w:t xml:space="preserve"> </w:t>
      </w:r>
      <w:r w:rsidR="0045434A">
        <w:rPr>
          <w:b/>
          <w:bCs/>
          <w:sz w:val="22"/>
          <w:szCs w:val="22"/>
        </w:rPr>
        <w:t>9</w:t>
      </w:r>
      <w:r w:rsidRPr="00B72EBA">
        <w:rPr>
          <w:b/>
          <w:bCs/>
          <w:sz w:val="22"/>
          <w:szCs w:val="22"/>
        </w:rPr>
        <w:t>:</w:t>
      </w:r>
      <w:r>
        <w:rPr>
          <w:b/>
          <w:bCs/>
          <w:sz w:val="22"/>
          <w:szCs w:val="22"/>
        </w:rPr>
        <w:t xml:space="preserve"> </w:t>
      </w:r>
      <w:r w:rsidRPr="000028B7">
        <w:rPr>
          <w:sz w:val="22"/>
          <w:szCs w:val="22"/>
        </w:rPr>
        <w:t xml:space="preserve">In option b more reference signals (TRS) are </w:t>
      </w:r>
      <w:proofErr w:type="gramStart"/>
      <w:r w:rsidRPr="000028B7">
        <w:rPr>
          <w:sz w:val="22"/>
          <w:szCs w:val="22"/>
        </w:rPr>
        <w:t>needed</w:t>
      </w:r>
      <w:proofErr w:type="gramEnd"/>
      <w:r w:rsidRPr="000028B7">
        <w:rPr>
          <w:sz w:val="22"/>
          <w:szCs w:val="22"/>
        </w:rPr>
        <w:t xml:space="preserve"> and they will not overlap with other NW signaling and thus have higher energy cost</w:t>
      </w:r>
    </w:p>
    <w:p w14:paraId="0FF8BA22" w14:textId="3658355B" w:rsidR="000028B7" w:rsidRPr="000028B7" w:rsidRDefault="000028B7" w:rsidP="005C2513">
      <w:pPr>
        <w:rPr>
          <w:b/>
          <w:bCs/>
          <w:sz w:val="22"/>
          <w:szCs w:val="22"/>
        </w:rPr>
      </w:pPr>
      <w:r>
        <w:rPr>
          <w:sz w:val="22"/>
          <w:szCs w:val="22"/>
        </w:rPr>
        <w:t xml:space="preserve">Based on these we propose RAN2 shall prioritize to specify </w:t>
      </w:r>
      <w:r w:rsidRPr="00B72EBA">
        <w:rPr>
          <w:sz w:val="22"/>
          <w:szCs w:val="22"/>
        </w:rPr>
        <w:t xml:space="preserve">option </w:t>
      </w:r>
      <w:r w:rsidRPr="000028B7">
        <w:rPr>
          <w:sz w:val="22"/>
          <w:szCs w:val="22"/>
        </w:rPr>
        <w:t>a (bundle paging frames)</w:t>
      </w:r>
      <w:r>
        <w:rPr>
          <w:sz w:val="22"/>
          <w:szCs w:val="22"/>
        </w:rPr>
        <w:t xml:space="preserve"> </w:t>
      </w:r>
      <w:r w:rsidRPr="00B72EBA">
        <w:rPr>
          <w:sz w:val="22"/>
          <w:szCs w:val="22"/>
        </w:rPr>
        <w:t xml:space="preserve">for paging </w:t>
      </w:r>
      <w:r>
        <w:rPr>
          <w:sz w:val="22"/>
          <w:szCs w:val="22"/>
        </w:rPr>
        <w:t>adaptation</w:t>
      </w:r>
      <w:r w:rsidRPr="00B72EBA">
        <w:rPr>
          <w:sz w:val="22"/>
          <w:szCs w:val="22"/>
        </w:rPr>
        <w:t>.</w:t>
      </w:r>
    </w:p>
    <w:p w14:paraId="0A8C1480" w14:textId="78A0EF82" w:rsidR="000028B7" w:rsidRDefault="00DC2945" w:rsidP="005C2513">
      <w:pPr>
        <w:rPr>
          <w:sz w:val="22"/>
          <w:szCs w:val="22"/>
        </w:rPr>
      </w:pPr>
      <w:r w:rsidRPr="00B72EBA">
        <w:rPr>
          <w:b/>
          <w:bCs/>
          <w:sz w:val="22"/>
          <w:szCs w:val="22"/>
        </w:rPr>
        <w:t>Proposal</w:t>
      </w:r>
      <w:r w:rsidR="00D70B21">
        <w:rPr>
          <w:b/>
          <w:bCs/>
          <w:sz w:val="22"/>
          <w:szCs w:val="22"/>
        </w:rPr>
        <w:t xml:space="preserve"> </w:t>
      </w:r>
      <w:r w:rsidR="00B9720E">
        <w:rPr>
          <w:b/>
          <w:bCs/>
          <w:sz w:val="22"/>
          <w:szCs w:val="22"/>
        </w:rPr>
        <w:t>9</w:t>
      </w:r>
      <w:r w:rsidRPr="00B72EBA">
        <w:rPr>
          <w:b/>
          <w:bCs/>
          <w:sz w:val="22"/>
          <w:szCs w:val="22"/>
        </w:rPr>
        <w:t xml:space="preserve">: </w:t>
      </w:r>
      <w:r w:rsidRPr="00B72EBA">
        <w:rPr>
          <w:sz w:val="22"/>
          <w:szCs w:val="22"/>
        </w:rPr>
        <w:t xml:space="preserve">RAN2 to prioritize to </w:t>
      </w:r>
      <w:r w:rsidR="000028B7">
        <w:rPr>
          <w:sz w:val="22"/>
          <w:szCs w:val="22"/>
        </w:rPr>
        <w:t xml:space="preserve">specify </w:t>
      </w:r>
      <w:r w:rsidR="000028B7" w:rsidRPr="00B72EBA">
        <w:rPr>
          <w:sz w:val="22"/>
          <w:szCs w:val="22"/>
        </w:rPr>
        <w:t xml:space="preserve">option </w:t>
      </w:r>
      <w:r w:rsidR="000028B7" w:rsidRPr="000028B7">
        <w:rPr>
          <w:sz w:val="22"/>
          <w:szCs w:val="22"/>
        </w:rPr>
        <w:t>a (bundle paging frames)</w:t>
      </w:r>
      <w:r w:rsidR="000028B7">
        <w:rPr>
          <w:sz w:val="22"/>
          <w:szCs w:val="22"/>
        </w:rPr>
        <w:t xml:space="preserve"> </w:t>
      </w:r>
      <w:r w:rsidR="000028B7" w:rsidRPr="00B72EBA">
        <w:rPr>
          <w:sz w:val="22"/>
          <w:szCs w:val="22"/>
        </w:rPr>
        <w:t xml:space="preserve">for paging </w:t>
      </w:r>
      <w:r w:rsidR="000028B7">
        <w:rPr>
          <w:sz w:val="22"/>
          <w:szCs w:val="22"/>
        </w:rPr>
        <w:t>adaptation</w:t>
      </w:r>
      <w:r w:rsidR="000028B7" w:rsidRPr="00B72EBA">
        <w:rPr>
          <w:sz w:val="22"/>
          <w:szCs w:val="22"/>
        </w:rPr>
        <w:t>.</w:t>
      </w:r>
    </w:p>
    <w:p w14:paraId="1674637A" w14:textId="7945EC6D" w:rsidR="001C22C9" w:rsidRPr="00B72EBA" w:rsidRDefault="006846C9" w:rsidP="005C2513">
      <w:pPr>
        <w:rPr>
          <w:sz w:val="22"/>
          <w:szCs w:val="22"/>
        </w:rPr>
      </w:pPr>
      <w:r w:rsidRPr="00B72EBA">
        <w:rPr>
          <w:sz w:val="22"/>
          <w:szCs w:val="22"/>
        </w:rPr>
        <w:t xml:space="preserve">RAN2 furthermore discussed how to handle legacy UEs. </w:t>
      </w:r>
      <w:r w:rsidR="008B65BB" w:rsidRPr="00B72EBA">
        <w:rPr>
          <w:sz w:val="22"/>
          <w:szCs w:val="22"/>
        </w:rPr>
        <w:t xml:space="preserve">In our view, </w:t>
      </w:r>
      <w:r w:rsidR="00806417" w:rsidRPr="00B72EBA">
        <w:rPr>
          <w:sz w:val="22"/>
          <w:szCs w:val="22"/>
        </w:rPr>
        <w:t xml:space="preserve">RAN2 can discuss how the specific paging resources are available to legacy UEs and Rel-19 NES UEs. </w:t>
      </w:r>
      <w:r w:rsidR="001A3CF5" w:rsidRPr="00B72EBA">
        <w:rPr>
          <w:sz w:val="22"/>
          <w:szCs w:val="22"/>
        </w:rPr>
        <w:t>For example, if a set of PFs are bundled</w:t>
      </w:r>
      <w:r w:rsidR="003405E7" w:rsidRPr="00B72EBA">
        <w:rPr>
          <w:sz w:val="22"/>
          <w:szCs w:val="22"/>
        </w:rPr>
        <w:t xml:space="preserve"> (=option </w:t>
      </w:r>
      <w:r w:rsidR="003405E7" w:rsidRPr="00B72EBA">
        <w:rPr>
          <w:i/>
          <w:iCs/>
          <w:sz w:val="22"/>
          <w:szCs w:val="22"/>
        </w:rPr>
        <w:t>a</w:t>
      </w:r>
      <w:r w:rsidR="003405E7" w:rsidRPr="00B72EBA">
        <w:rPr>
          <w:sz w:val="22"/>
          <w:szCs w:val="22"/>
        </w:rPr>
        <w:t>)</w:t>
      </w:r>
      <w:r w:rsidR="001A3CF5" w:rsidRPr="00B72EBA">
        <w:rPr>
          <w:sz w:val="22"/>
          <w:szCs w:val="22"/>
        </w:rPr>
        <w:t xml:space="preserve">, the legacy UE will not be aware of the bundling, but only the legacy PF(s) which potentially fall within the bundle period. </w:t>
      </w:r>
      <w:r w:rsidR="004A2DBC" w:rsidRPr="00B72EBA">
        <w:rPr>
          <w:sz w:val="22"/>
          <w:szCs w:val="22"/>
        </w:rPr>
        <w:t xml:space="preserve">Thus, it could be an option to keep such legacy PF(s), with corresponding legacy PO(s), available for the legacy UEs. The Rel-19 NES UEs </w:t>
      </w:r>
      <w:r w:rsidR="00DC7264" w:rsidRPr="00B72EBA">
        <w:rPr>
          <w:sz w:val="22"/>
          <w:szCs w:val="22"/>
        </w:rPr>
        <w:t xml:space="preserve">which map to the legacy PF(s) and legacy PO(s) within the bundle could thus monitor the same paging </w:t>
      </w:r>
      <w:r w:rsidR="00B54848" w:rsidRPr="00B72EBA">
        <w:rPr>
          <w:sz w:val="22"/>
          <w:szCs w:val="22"/>
        </w:rPr>
        <w:t>information</w:t>
      </w:r>
      <w:r w:rsidR="00DC7264" w:rsidRPr="00B72EBA">
        <w:rPr>
          <w:sz w:val="22"/>
          <w:szCs w:val="22"/>
        </w:rPr>
        <w:t xml:space="preserve"> as the legacy UEs, while Rel-19 NES UEs which map to other PF(s) and PO(s) (i.e. PF(s) and PO(s) not </w:t>
      </w:r>
      <w:r w:rsidR="00B54848" w:rsidRPr="00B72EBA">
        <w:rPr>
          <w:sz w:val="22"/>
          <w:szCs w:val="22"/>
        </w:rPr>
        <w:t xml:space="preserve">configured/understood by legacy UEs) shall monitor the </w:t>
      </w:r>
      <w:r w:rsidR="00A270F6" w:rsidRPr="00B72EBA">
        <w:rPr>
          <w:sz w:val="22"/>
          <w:szCs w:val="22"/>
        </w:rPr>
        <w:t>corresponding paging information.</w:t>
      </w:r>
    </w:p>
    <w:p w14:paraId="1C38346A" w14:textId="3EE150BB" w:rsidR="00A270F6" w:rsidRPr="00B72EBA" w:rsidRDefault="00E04780" w:rsidP="005C2513">
      <w:pPr>
        <w:rPr>
          <w:b/>
          <w:bCs/>
          <w:sz w:val="22"/>
          <w:szCs w:val="22"/>
        </w:rPr>
      </w:pPr>
      <w:r w:rsidRPr="00B72EBA">
        <w:rPr>
          <w:b/>
          <w:bCs/>
          <w:sz w:val="22"/>
          <w:szCs w:val="22"/>
        </w:rPr>
        <w:t>Observation</w:t>
      </w:r>
      <w:r w:rsidR="00CC4CAF">
        <w:rPr>
          <w:b/>
          <w:bCs/>
          <w:sz w:val="22"/>
          <w:szCs w:val="22"/>
        </w:rPr>
        <w:t xml:space="preserve"> </w:t>
      </w:r>
      <w:r w:rsidR="0045434A">
        <w:rPr>
          <w:b/>
          <w:bCs/>
          <w:sz w:val="22"/>
          <w:szCs w:val="22"/>
        </w:rPr>
        <w:t>10</w:t>
      </w:r>
      <w:r w:rsidR="00A270F6" w:rsidRPr="00B72EBA">
        <w:rPr>
          <w:b/>
          <w:bCs/>
          <w:sz w:val="22"/>
          <w:szCs w:val="22"/>
        </w:rPr>
        <w:t xml:space="preserve">: </w:t>
      </w:r>
      <w:r w:rsidR="00A270F6" w:rsidRPr="00B72EBA">
        <w:rPr>
          <w:sz w:val="22"/>
          <w:szCs w:val="22"/>
        </w:rPr>
        <w:t>Legacy UEs can monitor legacy PF(s) and legacy PO(s) which occur within a</w:t>
      </w:r>
      <w:r w:rsidR="003405E7" w:rsidRPr="00B72EBA">
        <w:rPr>
          <w:sz w:val="22"/>
          <w:szCs w:val="22"/>
        </w:rPr>
        <w:t xml:space="preserve"> set of</w:t>
      </w:r>
      <w:r w:rsidR="00A270F6" w:rsidRPr="00B72EBA">
        <w:rPr>
          <w:sz w:val="22"/>
          <w:szCs w:val="22"/>
        </w:rPr>
        <w:t xml:space="preserve"> bundled PF</w:t>
      </w:r>
      <w:r w:rsidR="003405E7" w:rsidRPr="00B72EBA">
        <w:rPr>
          <w:sz w:val="22"/>
          <w:szCs w:val="22"/>
        </w:rPr>
        <w:t>s.</w:t>
      </w:r>
    </w:p>
    <w:p w14:paraId="071DAE42" w14:textId="14B1C31A" w:rsidR="003405E7" w:rsidRPr="00B72EBA" w:rsidRDefault="003405E7" w:rsidP="005C2513">
      <w:pPr>
        <w:rPr>
          <w:sz w:val="22"/>
          <w:szCs w:val="22"/>
        </w:rPr>
      </w:pPr>
      <w:r w:rsidRPr="00B72EBA">
        <w:rPr>
          <w:sz w:val="22"/>
          <w:szCs w:val="22"/>
        </w:rPr>
        <w:t xml:space="preserve">Likewise, for option </w:t>
      </w:r>
      <w:r w:rsidRPr="00B72EBA">
        <w:rPr>
          <w:i/>
          <w:iCs/>
          <w:sz w:val="22"/>
          <w:szCs w:val="22"/>
        </w:rPr>
        <w:t>b</w:t>
      </w:r>
      <w:r w:rsidRPr="00B72EBA">
        <w:rPr>
          <w:sz w:val="22"/>
          <w:szCs w:val="22"/>
        </w:rPr>
        <w:t xml:space="preserve">, </w:t>
      </w:r>
      <w:r w:rsidR="00225BDF" w:rsidRPr="00B72EBA">
        <w:rPr>
          <w:sz w:val="22"/>
          <w:szCs w:val="22"/>
        </w:rPr>
        <w:t xml:space="preserve">the legacy UEs will only </w:t>
      </w:r>
      <w:r w:rsidR="001D7224" w:rsidRPr="00B72EBA">
        <w:rPr>
          <w:sz w:val="22"/>
          <w:szCs w:val="22"/>
        </w:rPr>
        <w:t xml:space="preserve">be able to monitor the PF(s) and PO(s) </w:t>
      </w:r>
      <w:r w:rsidR="00CF0CF5" w:rsidRPr="00B72EBA">
        <w:rPr>
          <w:sz w:val="22"/>
          <w:szCs w:val="22"/>
        </w:rPr>
        <w:t>which coincides with a legacy value of N</w:t>
      </w:r>
      <w:r w:rsidR="0043296C" w:rsidRPr="00B72EBA">
        <w:rPr>
          <w:sz w:val="22"/>
          <w:szCs w:val="22"/>
        </w:rPr>
        <w:t>, while the remaining (i.e. new) PF(s) and PO(s) that are mapped based on a new N (e.g. T/64) will only be monitored by Rel-19 NES UEs.</w:t>
      </w:r>
    </w:p>
    <w:p w14:paraId="1D1AF347" w14:textId="72B8FDB8" w:rsidR="0043296C" w:rsidRPr="00B72EBA" w:rsidRDefault="00E04780" w:rsidP="0043296C">
      <w:pPr>
        <w:rPr>
          <w:b/>
          <w:bCs/>
          <w:sz w:val="22"/>
          <w:szCs w:val="22"/>
        </w:rPr>
      </w:pPr>
      <w:r w:rsidRPr="00B72EBA">
        <w:rPr>
          <w:b/>
          <w:bCs/>
          <w:sz w:val="22"/>
          <w:szCs w:val="22"/>
        </w:rPr>
        <w:t>Observation</w:t>
      </w:r>
      <w:r w:rsidR="00CC4CAF">
        <w:rPr>
          <w:b/>
          <w:bCs/>
          <w:sz w:val="22"/>
          <w:szCs w:val="22"/>
        </w:rPr>
        <w:t xml:space="preserve"> </w:t>
      </w:r>
      <w:r w:rsidR="0045434A">
        <w:rPr>
          <w:b/>
          <w:bCs/>
          <w:sz w:val="22"/>
          <w:szCs w:val="22"/>
        </w:rPr>
        <w:t>11</w:t>
      </w:r>
      <w:r w:rsidR="0043296C" w:rsidRPr="00B72EBA">
        <w:rPr>
          <w:b/>
          <w:bCs/>
          <w:sz w:val="22"/>
          <w:szCs w:val="22"/>
        </w:rPr>
        <w:t xml:space="preserve">: </w:t>
      </w:r>
      <w:r w:rsidR="0043296C" w:rsidRPr="00B72EBA">
        <w:rPr>
          <w:sz w:val="22"/>
          <w:szCs w:val="22"/>
        </w:rPr>
        <w:t xml:space="preserve">Legacy UEs can monitor legacy PF(s) and legacy PO(s) </w:t>
      </w:r>
      <w:r w:rsidR="004A405A" w:rsidRPr="00B72EBA">
        <w:rPr>
          <w:sz w:val="22"/>
          <w:szCs w:val="22"/>
        </w:rPr>
        <w:t xml:space="preserve">based on legacy value of N and not PF(s) and PO(s) based on </w:t>
      </w:r>
      <w:r w:rsidR="004E083B" w:rsidRPr="00B72EBA">
        <w:rPr>
          <w:sz w:val="22"/>
          <w:szCs w:val="22"/>
        </w:rPr>
        <w:t>a new N, when the new PF(s) and PO(s) do not coincide with the legacy PF(s) and PO(s)</w:t>
      </w:r>
      <w:r w:rsidR="0043296C" w:rsidRPr="00B72EBA">
        <w:rPr>
          <w:sz w:val="22"/>
          <w:szCs w:val="22"/>
        </w:rPr>
        <w:t>.</w:t>
      </w:r>
    </w:p>
    <w:p w14:paraId="2AA9D123" w14:textId="0C21FA3E" w:rsidR="0043296C" w:rsidRPr="00B72EBA" w:rsidRDefault="004E083B" w:rsidP="005C2513">
      <w:pPr>
        <w:rPr>
          <w:sz w:val="22"/>
          <w:szCs w:val="22"/>
        </w:rPr>
      </w:pPr>
      <w:r w:rsidRPr="00B72EBA">
        <w:rPr>
          <w:sz w:val="22"/>
          <w:szCs w:val="22"/>
        </w:rPr>
        <w:t xml:space="preserve">In summary, the Rel-19 NES UEs can use legacy PF(s) and PO(s), while legacy UEs </w:t>
      </w:r>
      <w:proofErr w:type="spellStart"/>
      <w:r w:rsidRPr="00B72EBA">
        <w:rPr>
          <w:sz w:val="22"/>
          <w:szCs w:val="22"/>
        </w:rPr>
        <w:t>can not</w:t>
      </w:r>
      <w:proofErr w:type="spellEnd"/>
      <w:r w:rsidRPr="00B72EBA">
        <w:rPr>
          <w:sz w:val="22"/>
          <w:szCs w:val="22"/>
        </w:rPr>
        <w:t xml:space="preserve"> use Rel-19 PF(s) and PO(s) based on option a or b.</w:t>
      </w:r>
      <w:r w:rsidR="00632221" w:rsidRPr="00B72EBA">
        <w:rPr>
          <w:sz w:val="22"/>
          <w:szCs w:val="22"/>
        </w:rPr>
        <w:t xml:space="preserve"> Alternatively, the Rel-19 NES UEs can also be configured not to use the legacy PF(s) and PO(s), but it would complicate the configuration and mapping of PF(s) and PO(s) without any obvious benefit.</w:t>
      </w:r>
    </w:p>
    <w:p w14:paraId="75623E5D" w14:textId="4DA595C9" w:rsidR="00E04780" w:rsidRDefault="00E04780" w:rsidP="005C2513">
      <w:pPr>
        <w:rPr>
          <w:sz w:val="22"/>
          <w:szCs w:val="22"/>
        </w:rPr>
      </w:pPr>
      <w:r w:rsidRPr="00B72EBA">
        <w:rPr>
          <w:b/>
          <w:bCs/>
          <w:sz w:val="22"/>
          <w:szCs w:val="22"/>
        </w:rPr>
        <w:t>Proposal</w:t>
      </w:r>
      <w:r w:rsidR="00D70B21">
        <w:rPr>
          <w:b/>
          <w:bCs/>
          <w:sz w:val="22"/>
          <w:szCs w:val="22"/>
        </w:rPr>
        <w:t xml:space="preserve"> 1</w:t>
      </w:r>
      <w:r w:rsidR="00B9720E">
        <w:rPr>
          <w:b/>
          <w:bCs/>
          <w:sz w:val="22"/>
          <w:szCs w:val="22"/>
        </w:rPr>
        <w:t>0</w:t>
      </w:r>
      <w:r w:rsidRPr="00B72EBA">
        <w:rPr>
          <w:b/>
          <w:bCs/>
          <w:sz w:val="22"/>
          <w:szCs w:val="22"/>
        </w:rPr>
        <w:t xml:space="preserve">: </w:t>
      </w:r>
      <w:r w:rsidRPr="00B72EBA">
        <w:rPr>
          <w:sz w:val="22"/>
          <w:szCs w:val="22"/>
        </w:rPr>
        <w:t xml:space="preserve">Rel-19 NES UEs can use legacy PF(s) and PO(s) in addition to Rel-19 PF(s) and PO(s), while legacy UEs cannot use Rel-19 PF(s) and PO(s) based on option </w:t>
      </w:r>
      <w:proofErr w:type="gramStart"/>
      <w:r w:rsidRPr="00B72EBA">
        <w:rPr>
          <w:sz w:val="22"/>
          <w:szCs w:val="22"/>
        </w:rPr>
        <w:t>a or</w:t>
      </w:r>
      <w:proofErr w:type="gramEnd"/>
      <w:r w:rsidRPr="00B72EBA">
        <w:rPr>
          <w:sz w:val="22"/>
          <w:szCs w:val="22"/>
        </w:rPr>
        <w:t xml:space="preserve"> b.</w:t>
      </w:r>
    </w:p>
    <w:p w14:paraId="4D1C21F5" w14:textId="5EC8ECFE" w:rsidR="000028B7" w:rsidRPr="000028B7" w:rsidRDefault="000028B7" w:rsidP="000028B7">
      <w:pPr>
        <w:rPr>
          <w:sz w:val="22"/>
          <w:szCs w:val="22"/>
        </w:rPr>
      </w:pPr>
      <w:r>
        <w:rPr>
          <w:sz w:val="22"/>
          <w:szCs w:val="22"/>
        </w:rPr>
        <w:t>Confining t</w:t>
      </w:r>
      <w:r w:rsidRPr="000028B7">
        <w:rPr>
          <w:sz w:val="22"/>
          <w:szCs w:val="22"/>
        </w:rPr>
        <w:t>he paging occasions in the time domain is not supposed to increase the paging latency, but rather shift the paging occasions to save network energy.</w:t>
      </w:r>
      <w:r>
        <w:rPr>
          <w:sz w:val="22"/>
          <w:szCs w:val="22"/>
        </w:rPr>
        <w:t xml:space="preserve"> </w:t>
      </w:r>
      <w:r w:rsidRPr="000028B7">
        <w:rPr>
          <w:sz w:val="22"/>
          <w:szCs w:val="22"/>
        </w:rPr>
        <w:t>In the legacy specification, the UE can be configured with the cell specific or UE specific DRX (paging) cycle. The UE specific DRX cycle is useful for enhancing UE energy saving or for reducing paging latency, by configuring a cycle longer or shorter, respectively, than the cell specific cycle. RAN2 has not yet discussed if &amp; how the paging occasion confinement will impact the UEs configured with a UE specific DRX cycle. In our view, there are scenarios such as ultra-reliable low-latency communication where a shorter UE specific DRX cycle is required to fulfil the latency requirements.</w:t>
      </w:r>
    </w:p>
    <w:p w14:paraId="283B3454" w14:textId="547B51BB" w:rsidR="002E7783" w:rsidRPr="00B72EBA" w:rsidRDefault="000028B7" w:rsidP="005C2513">
      <w:pPr>
        <w:rPr>
          <w:b/>
          <w:bCs/>
          <w:sz w:val="22"/>
          <w:szCs w:val="22"/>
        </w:rPr>
      </w:pPr>
      <w:r w:rsidRPr="000028B7">
        <w:rPr>
          <w:b/>
          <w:bCs/>
          <w:sz w:val="22"/>
          <w:szCs w:val="22"/>
        </w:rPr>
        <w:t>Proposal</w:t>
      </w:r>
      <w:r>
        <w:rPr>
          <w:b/>
          <w:bCs/>
          <w:sz w:val="22"/>
          <w:szCs w:val="22"/>
        </w:rPr>
        <w:t xml:space="preserve"> </w:t>
      </w:r>
      <w:r w:rsidR="0045434A">
        <w:rPr>
          <w:b/>
          <w:bCs/>
          <w:sz w:val="22"/>
          <w:szCs w:val="22"/>
        </w:rPr>
        <w:t>1</w:t>
      </w:r>
      <w:r w:rsidR="005C570D">
        <w:rPr>
          <w:b/>
          <w:bCs/>
          <w:sz w:val="22"/>
          <w:szCs w:val="22"/>
        </w:rPr>
        <w:t>1</w:t>
      </w:r>
      <w:r w:rsidRPr="000028B7">
        <w:rPr>
          <w:b/>
          <w:bCs/>
          <w:sz w:val="22"/>
          <w:szCs w:val="22"/>
        </w:rPr>
        <w:t xml:space="preserve">: </w:t>
      </w:r>
      <w:r w:rsidRPr="000028B7">
        <w:rPr>
          <w:sz w:val="22"/>
          <w:szCs w:val="22"/>
        </w:rPr>
        <w:t xml:space="preserve">RAN2 to discuss if and how the paging </w:t>
      </w:r>
      <w:r>
        <w:rPr>
          <w:sz w:val="22"/>
          <w:szCs w:val="22"/>
        </w:rPr>
        <w:t>adaptation</w:t>
      </w:r>
      <w:r w:rsidRPr="000028B7">
        <w:rPr>
          <w:sz w:val="22"/>
          <w:szCs w:val="22"/>
        </w:rPr>
        <w:t xml:space="preserve"> enhancement will impact UEs configured with a UE specific DRX cycle.</w:t>
      </w:r>
    </w:p>
    <w:p w14:paraId="38657934" w14:textId="6966E617" w:rsidR="00DB4A90" w:rsidRPr="00DB4A90" w:rsidRDefault="001D714E" w:rsidP="00DB4A90">
      <w:pPr>
        <w:pStyle w:val="Heading2"/>
        <w:numPr>
          <w:ilvl w:val="1"/>
          <w:numId w:val="27"/>
        </w:numPr>
        <w:rPr>
          <w:lang w:val="en-US"/>
        </w:rPr>
      </w:pPr>
      <w:r w:rsidRPr="00C461E2">
        <w:rPr>
          <w:lang w:val="en-US"/>
        </w:rPr>
        <w:t>PRACH Adaptation in time domain in conjunction with adaptation of paging occasions</w:t>
      </w:r>
    </w:p>
    <w:p w14:paraId="2ED122EF" w14:textId="77777777" w:rsidR="001D714E" w:rsidRPr="00C461E2" w:rsidRDefault="001D714E" w:rsidP="001D714E">
      <w:pPr>
        <w:rPr>
          <w:sz w:val="22"/>
          <w:szCs w:val="22"/>
        </w:rPr>
      </w:pPr>
      <w:r w:rsidRPr="00C461E2">
        <w:rPr>
          <w:sz w:val="22"/>
          <w:szCs w:val="22"/>
        </w:rPr>
        <w:t>The PRACH load level will inherently increase if the paging occasions are confined in time domain. This is because the UEs will have to be paged during such confined time period, thereby causing the UEs to respond to the paging also in a confined time interval.</w:t>
      </w:r>
    </w:p>
    <w:p w14:paraId="2835F767" w14:textId="5B997B31" w:rsidR="001D714E" w:rsidRPr="00C461E2" w:rsidRDefault="001D714E" w:rsidP="001D714E">
      <w:pPr>
        <w:jc w:val="both"/>
        <w:rPr>
          <w:b/>
          <w:bCs/>
          <w:sz w:val="22"/>
          <w:szCs w:val="22"/>
        </w:rPr>
      </w:pPr>
      <w:r w:rsidRPr="00C461E2">
        <w:rPr>
          <w:b/>
          <w:bCs/>
          <w:sz w:val="22"/>
          <w:szCs w:val="22"/>
        </w:rPr>
        <w:lastRenderedPageBreak/>
        <w:t xml:space="preserve">Proposal </w:t>
      </w:r>
      <w:r w:rsidR="00D70B21">
        <w:rPr>
          <w:b/>
          <w:bCs/>
          <w:sz w:val="22"/>
          <w:szCs w:val="22"/>
        </w:rPr>
        <w:t>1</w:t>
      </w:r>
      <w:r w:rsidR="005C570D">
        <w:rPr>
          <w:b/>
          <w:bCs/>
          <w:sz w:val="22"/>
          <w:szCs w:val="22"/>
        </w:rPr>
        <w:t>2</w:t>
      </w:r>
      <w:r w:rsidRPr="00C461E2">
        <w:rPr>
          <w:b/>
          <w:bCs/>
          <w:sz w:val="22"/>
          <w:szCs w:val="22"/>
        </w:rPr>
        <w:t xml:space="preserve">: </w:t>
      </w:r>
      <w:r w:rsidRPr="00B72EBA">
        <w:rPr>
          <w:sz w:val="22"/>
          <w:szCs w:val="22"/>
        </w:rPr>
        <w:t xml:space="preserve">RAN2 to study PRACH adaptation in time domain to spread </w:t>
      </w:r>
      <w:r w:rsidR="007C06B4" w:rsidRPr="00B72EBA">
        <w:rPr>
          <w:sz w:val="22"/>
          <w:szCs w:val="22"/>
        </w:rPr>
        <w:t xml:space="preserve">the </w:t>
      </w:r>
      <w:r w:rsidRPr="00B72EBA">
        <w:rPr>
          <w:sz w:val="22"/>
          <w:szCs w:val="22"/>
        </w:rPr>
        <w:t xml:space="preserve">PRACH load when paging occasion adaptation is </w:t>
      </w:r>
      <w:r w:rsidR="007C06B4" w:rsidRPr="00B72EBA">
        <w:rPr>
          <w:sz w:val="22"/>
          <w:szCs w:val="22"/>
        </w:rPr>
        <w:t>used</w:t>
      </w:r>
      <w:r w:rsidRPr="00B72EBA">
        <w:rPr>
          <w:sz w:val="22"/>
          <w:szCs w:val="22"/>
        </w:rPr>
        <w:t>.</w:t>
      </w:r>
    </w:p>
    <w:p w14:paraId="45CDEFEF" w14:textId="77777777" w:rsidR="00DB4A90" w:rsidRDefault="00DB4A90" w:rsidP="001D714E">
      <w:pPr>
        <w:jc w:val="both"/>
        <w:rPr>
          <w:b/>
          <w:bCs/>
          <w:sz w:val="22"/>
          <w:szCs w:val="22"/>
        </w:rPr>
      </w:pPr>
    </w:p>
    <w:p w14:paraId="69B7B8E6" w14:textId="6A6AA7C7" w:rsidR="009339CB" w:rsidRDefault="009339CB" w:rsidP="00826220">
      <w:pPr>
        <w:pStyle w:val="Heading1"/>
        <w:numPr>
          <w:ilvl w:val="0"/>
          <w:numId w:val="27"/>
        </w:numPr>
        <w:rPr>
          <w:lang w:val="en-US"/>
        </w:rPr>
      </w:pPr>
      <w:r w:rsidRPr="00C461E2">
        <w:rPr>
          <w:lang w:val="en-US"/>
        </w:rPr>
        <w:t>Conclusion</w:t>
      </w:r>
    </w:p>
    <w:p w14:paraId="651AAF3F" w14:textId="77777777" w:rsidR="00826220" w:rsidRPr="00826220" w:rsidRDefault="00826220" w:rsidP="00826220">
      <w:pPr>
        <w:jc w:val="both"/>
        <w:rPr>
          <w:sz w:val="22"/>
          <w:szCs w:val="22"/>
        </w:rPr>
      </w:pPr>
      <w:r w:rsidRPr="00826220">
        <w:rPr>
          <w:b/>
          <w:bCs/>
          <w:sz w:val="22"/>
          <w:szCs w:val="22"/>
        </w:rPr>
        <w:t xml:space="preserve">Proposal 1: </w:t>
      </w:r>
      <w:r w:rsidRPr="00826220">
        <w:rPr>
          <w:sz w:val="22"/>
          <w:szCs w:val="22"/>
        </w:rPr>
        <w:t>RAN2 to wait for RAN1 to clarify scenarios for SSB adaptation in the time domain where Option 1 or Option 2 can provide network energy saving before providing input.</w:t>
      </w:r>
    </w:p>
    <w:p w14:paraId="4BC1FB19" w14:textId="77777777" w:rsidR="00826220" w:rsidRPr="00826220" w:rsidRDefault="00826220" w:rsidP="00826220">
      <w:pPr>
        <w:tabs>
          <w:tab w:val="left" w:pos="284"/>
        </w:tabs>
        <w:jc w:val="both"/>
        <w:rPr>
          <w:sz w:val="22"/>
          <w:szCs w:val="22"/>
        </w:rPr>
      </w:pPr>
      <w:r w:rsidRPr="00826220">
        <w:rPr>
          <w:b/>
          <w:bCs/>
          <w:sz w:val="22"/>
          <w:szCs w:val="22"/>
        </w:rPr>
        <w:t>Proposal 2:</w:t>
      </w:r>
      <w:r w:rsidRPr="00826220">
        <w:rPr>
          <w:sz w:val="22"/>
          <w:szCs w:val="22"/>
        </w:rPr>
        <w:t xml:space="preserve"> Adaptation of SSB transmissions should not result in dropping of any SSBs that legacy UEs expect to receive. </w:t>
      </w:r>
    </w:p>
    <w:p w14:paraId="6BCAC78B" w14:textId="77777777" w:rsidR="00826220" w:rsidRPr="00826220" w:rsidRDefault="00826220" w:rsidP="00826220">
      <w:pPr>
        <w:rPr>
          <w:sz w:val="22"/>
          <w:szCs w:val="22"/>
        </w:rPr>
      </w:pPr>
      <w:r w:rsidRPr="00826220">
        <w:rPr>
          <w:b/>
          <w:bCs/>
          <w:sz w:val="22"/>
          <w:szCs w:val="22"/>
        </w:rPr>
        <w:t xml:space="preserve">Observation 1: </w:t>
      </w:r>
      <w:r w:rsidRPr="00826220">
        <w:rPr>
          <w:sz w:val="22"/>
          <w:szCs w:val="22"/>
        </w:rPr>
        <w:t>The SSB periodicity of a cell providing initial access to legacy UEs can be set up to 20ms to avoid the impact on legacy UEs, but this may reduce the energy saving potential.</w:t>
      </w:r>
    </w:p>
    <w:p w14:paraId="5D561B0D" w14:textId="77777777" w:rsidR="00826220" w:rsidRPr="00826220" w:rsidRDefault="00826220" w:rsidP="00826220">
      <w:pPr>
        <w:tabs>
          <w:tab w:val="left" w:pos="284"/>
        </w:tabs>
        <w:jc w:val="both"/>
        <w:rPr>
          <w:sz w:val="22"/>
          <w:szCs w:val="22"/>
        </w:rPr>
      </w:pPr>
      <w:r w:rsidRPr="00826220">
        <w:rPr>
          <w:b/>
          <w:bCs/>
          <w:sz w:val="22"/>
          <w:szCs w:val="22"/>
        </w:rPr>
        <w:t xml:space="preserve">Proposal 3: </w:t>
      </w:r>
      <w:r w:rsidRPr="00826220">
        <w:rPr>
          <w:sz w:val="22"/>
          <w:szCs w:val="22"/>
        </w:rPr>
        <w:t>Discuss implications of relaxing the default SSB periodicity value of 20ms for the initial access procedure of Rel.19 NES-capable UEs.</w:t>
      </w:r>
    </w:p>
    <w:p w14:paraId="4B58AFCB" w14:textId="77777777" w:rsidR="00826220" w:rsidRPr="00826220" w:rsidRDefault="00826220" w:rsidP="00826220">
      <w:pPr>
        <w:jc w:val="both"/>
        <w:rPr>
          <w:b/>
          <w:bCs/>
          <w:sz w:val="22"/>
          <w:szCs w:val="22"/>
        </w:rPr>
      </w:pPr>
      <w:r w:rsidRPr="00826220">
        <w:rPr>
          <w:b/>
          <w:bCs/>
          <w:sz w:val="22"/>
          <w:szCs w:val="22"/>
        </w:rPr>
        <w:t xml:space="preserve">Proposal 4: </w:t>
      </w:r>
      <w:r w:rsidRPr="00826220">
        <w:rPr>
          <w:sz w:val="22"/>
          <w:szCs w:val="22"/>
        </w:rPr>
        <w:t xml:space="preserve">Clarify whether further considerations are needed for the 2-step PRACH adaptation e.g., the resource used by the UE to transmit </w:t>
      </w:r>
      <w:proofErr w:type="spellStart"/>
      <w:r w:rsidRPr="00826220">
        <w:rPr>
          <w:sz w:val="22"/>
          <w:szCs w:val="22"/>
        </w:rPr>
        <w:t>MsgA</w:t>
      </w:r>
      <w:proofErr w:type="spellEnd"/>
      <w:r w:rsidRPr="00826220">
        <w:rPr>
          <w:b/>
          <w:bCs/>
          <w:sz w:val="22"/>
          <w:szCs w:val="22"/>
        </w:rPr>
        <w:t xml:space="preserve">. </w:t>
      </w:r>
    </w:p>
    <w:p w14:paraId="245CD212" w14:textId="77777777" w:rsidR="00826220" w:rsidRPr="00826220" w:rsidRDefault="00826220" w:rsidP="00826220">
      <w:pPr>
        <w:jc w:val="both"/>
        <w:rPr>
          <w:b/>
          <w:sz w:val="22"/>
          <w:szCs w:val="22"/>
        </w:rPr>
      </w:pPr>
      <w:r w:rsidRPr="00826220">
        <w:rPr>
          <w:b/>
          <w:bCs/>
          <w:sz w:val="22"/>
          <w:szCs w:val="22"/>
        </w:rPr>
        <w:t>Proposal 5:</w:t>
      </w:r>
      <w:r w:rsidRPr="00826220">
        <w:rPr>
          <w:b/>
          <w:sz w:val="22"/>
          <w:szCs w:val="22"/>
        </w:rPr>
        <w:t xml:space="preserve"> </w:t>
      </w:r>
      <w:r w:rsidRPr="00826220">
        <w:rPr>
          <w:sz w:val="22"/>
          <w:szCs w:val="22"/>
        </w:rPr>
        <w:t>Study at least PRACH adaptation solution(s) that are applied to CBRA. PRACH adaptation applied to CFRA shall also be investigated, if time allows, however no CFRA-specific PRACH adaptation solutions should be considered</w:t>
      </w:r>
      <w:r w:rsidRPr="00826220">
        <w:rPr>
          <w:b/>
          <w:sz w:val="22"/>
          <w:szCs w:val="22"/>
        </w:rPr>
        <w:t>.</w:t>
      </w:r>
    </w:p>
    <w:p w14:paraId="17F3AF6B" w14:textId="77777777" w:rsidR="00826220" w:rsidRPr="00826220" w:rsidRDefault="00826220" w:rsidP="00826220">
      <w:pPr>
        <w:jc w:val="both"/>
        <w:rPr>
          <w:sz w:val="22"/>
          <w:szCs w:val="22"/>
        </w:rPr>
      </w:pPr>
      <w:r w:rsidRPr="00826220">
        <w:rPr>
          <w:b/>
          <w:sz w:val="22"/>
          <w:szCs w:val="22"/>
        </w:rPr>
        <w:t xml:space="preserve">Proposal 6: </w:t>
      </w:r>
      <w:r w:rsidRPr="00826220">
        <w:rPr>
          <w:sz w:val="22"/>
          <w:szCs w:val="22"/>
        </w:rPr>
        <w:t>PRACH adaptation should be applicable to cells that support both legacy and Rel-19 UEs.</w:t>
      </w:r>
    </w:p>
    <w:p w14:paraId="7A9D5C28" w14:textId="77777777" w:rsidR="00826220" w:rsidRPr="00826220" w:rsidRDefault="00826220" w:rsidP="00826220">
      <w:pPr>
        <w:spacing w:before="120"/>
        <w:jc w:val="both"/>
        <w:rPr>
          <w:bCs/>
          <w:color w:val="000000" w:themeColor="text1"/>
          <w:sz w:val="22"/>
          <w:szCs w:val="22"/>
        </w:rPr>
      </w:pPr>
      <w:r w:rsidRPr="00826220">
        <w:rPr>
          <w:b/>
          <w:bCs/>
          <w:color w:val="000000" w:themeColor="text1"/>
          <w:sz w:val="22"/>
          <w:szCs w:val="22"/>
        </w:rPr>
        <w:t>Observation 2:</w:t>
      </w:r>
      <w:r w:rsidRPr="00826220">
        <w:rPr>
          <w:b/>
          <w:color w:val="000000" w:themeColor="text1"/>
          <w:sz w:val="22"/>
          <w:szCs w:val="22"/>
        </w:rPr>
        <w:t xml:space="preserve"> </w:t>
      </w:r>
      <w:r w:rsidRPr="00826220">
        <w:rPr>
          <w:bCs/>
          <w:color w:val="000000" w:themeColor="text1"/>
          <w:sz w:val="22"/>
          <w:szCs w:val="22"/>
        </w:rPr>
        <w:t xml:space="preserve">The configuration of a PRACH configuration index for the additional PRACH resources different from the PRACH configuration index for the legacy resource offers more flexibility to the NW and can help accommodating scheduler needs. However, the possible overlaps between sub-sets of ROs would need to be further studied in this case. </w:t>
      </w:r>
    </w:p>
    <w:p w14:paraId="01E564E5" w14:textId="77777777" w:rsidR="00826220" w:rsidRPr="00826220" w:rsidRDefault="00826220" w:rsidP="00826220">
      <w:pPr>
        <w:jc w:val="both"/>
        <w:rPr>
          <w:color w:val="000000" w:themeColor="text1"/>
          <w:sz w:val="22"/>
          <w:szCs w:val="22"/>
        </w:rPr>
      </w:pPr>
      <w:r w:rsidRPr="00826220">
        <w:rPr>
          <w:b/>
          <w:bCs/>
          <w:color w:val="000000" w:themeColor="text1"/>
          <w:sz w:val="22"/>
          <w:szCs w:val="22"/>
        </w:rPr>
        <w:t>Observation 3:</w:t>
      </w:r>
      <w:r w:rsidRPr="00826220">
        <w:rPr>
          <w:b/>
          <w:color w:val="000000" w:themeColor="text1"/>
          <w:sz w:val="22"/>
          <w:szCs w:val="22"/>
        </w:rPr>
        <w:t xml:space="preserve"> </w:t>
      </w:r>
      <w:r w:rsidRPr="00826220">
        <w:rPr>
          <w:sz w:val="22"/>
          <w:szCs w:val="22"/>
        </w:rPr>
        <w:t>Densification of RO in the system frames where legacy ROs are located</w:t>
      </w:r>
      <w:r w:rsidRPr="00826220">
        <w:rPr>
          <w:color w:val="000000" w:themeColor="text1"/>
          <w:sz w:val="22"/>
          <w:szCs w:val="22"/>
        </w:rPr>
        <w:t xml:space="preserve"> offers more compact monitoring occasion in time and/or frequency, which may provide longer BS sleeping opportunities and to achieve better energy saving, with no impact on legacy UEs. However, the possible impact in terms of latency and energy consumption for handling other UL channels, e.g., RRC_CONNECTED PUSCH and PUSCH, would need to be further studied in this case. </w:t>
      </w:r>
    </w:p>
    <w:p w14:paraId="585C4A21" w14:textId="77777777" w:rsidR="00826220" w:rsidRPr="00826220" w:rsidRDefault="00826220" w:rsidP="00826220">
      <w:pPr>
        <w:spacing w:before="240" w:after="0"/>
        <w:jc w:val="both"/>
        <w:rPr>
          <w:sz w:val="22"/>
          <w:szCs w:val="22"/>
        </w:rPr>
      </w:pPr>
      <w:r w:rsidRPr="00826220">
        <w:rPr>
          <w:b/>
          <w:bCs/>
          <w:sz w:val="22"/>
          <w:szCs w:val="22"/>
        </w:rPr>
        <w:t>Observation 4:</w:t>
      </w:r>
      <w:r w:rsidRPr="00826220">
        <w:rPr>
          <w:b/>
          <w:sz w:val="22"/>
          <w:szCs w:val="22"/>
        </w:rPr>
        <w:t xml:space="preserve"> </w:t>
      </w:r>
      <w:r w:rsidRPr="00826220">
        <w:rPr>
          <w:bCs/>
          <w:sz w:val="22"/>
          <w:szCs w:val="22"/>
        </w:rPr>
        <w:t>The versatility of the existing framework may not be enough to cover all the needs a NW scheduler may have in this context, irrespective of whether the creation of the additional ROs is obtained through densifying ROs or increasing the number of system frames in which ROs are created.</w:t>
      </w:r>
      <w:r w:rsidRPr="00826220">
        <w:rPr>
          <w:b/>
          <w:sz w:val="22"/>
          <w:szCs w:val="22"/>
        </w:rPr>
        <w:t xml:space="preserve"> </w:t>
      </w:r>
    </w:p>
    <w:p w14:paraId="6794C2E2" w14:textId="77777777" w:rsidR="00826220" w:rsidRPr="00826220" w:rsidRDefault="00826220" w:rsidP="00826220">
      <w:pPr>
        <w:spacing w:before="120"/>
        <w:jc w:val="both"/>
        <w:rPr>
          <w:b/>
          <w:color w:val="000000" w:themeColor="text1"/>
          <w:sz w:val="22"/>
          <w:szCs w:val="22"/>
        </w:rPr>
      </w:pPr>
      <w:r w:rsidRPr="00826220">
        <w:rPr>
          <w:b/>
          <w:bCs/>
          <w:color w:val="000000" w:themeColor="text1"/>
          <w:sz w:val="22"/>
          <w:szCs w:val="22"/>
        </w:rPr>
        <w:t>Observation 5:</w:t>
      </w:r>
      <w:r w:rsidRPr="00826220">
        <w:rPr>
          <w:b/>
          <w:color w:val="000000" w:themeColor="text1"/>
          <w:sz w:val="22"/>
          <w:szCs w:val="22"/>
        </w:rPr>
        <w:t xml:space="preserve"> </w:t>
      </w:r>
      <w:r w:rsidRPr="00826220">
        <w:rPr>
          <w:bCs/>
          <w:color w:val="000000" w:themeColor="text1"/>
          <w:sz w:val="22"/>
          <w:szCs w:val="22"/>
        </w:rPr>
        <w:t xml:space="preserve">The configuration of the PRACH configuration index for the additional PRACH resources as the legacy resource allows the network energy consumption for PRACH reception to occur mainly (or only) during system frames where legacy ROs are located and, at the same time, ensures that PRACH resources are not overlapping in time and/or frequency. </w:t>
      </w:r>
    </w:p>
    <w:p w14:paraId="51054259" w14:textId="77777777" w:rsidR="00826220" w:rsidRPr="00826220" w:rsidRDefault="00826220" w:rsidP="00826220">
      <w:pPr>
        <w:spacing w:after="0"/>
        <w:jc w:val="both"/>
        <w:rPr>
          <w:bCs/>
          <w:color w:val="000000" w:themeColor="text1"/>
          <w:sz w:val="22"/>
          <w:szCs w:val="22"/>
        </w:rPr>
      </w:pPr>
      <w:r w:rsidRPr="00826220">
        <w:rPr>
          <w:b/>
          <w:color w:val="000000" w:themeColor="text1"/>
          <w:sz w:val="22"/>
          <w:szCs w:val="22"/>
        </w:rPr>
        <w:t xml:space="preserve">Proposal-7: </w:t>
      </w:r>
      <w:r w:rsidRPr="00826220">
        <w:rPr>
          <w:bCs/>
          <w:color w:val="000000" w:themeColor="text1"/>
          <w:sz w:val="22"/>
          <w:szCs w:val="22"/>
        </w:rPr>
        <w:t>RAN2 to wait for RAN1 to conclude on whether to consider same or different PRACH configuration indices for NES-capable UEs. Implications on RAN2 are FFS.</w:t>
      </w:r>
    </w:p>
    <w:p w14:paraId="51CF3FE6" w14:textId="77777777" w:rsidR="00826220" w:rsidRPr="00826220" w:rsidRDefault="00826220" w:rsidP="00826220">
      <w:pPr>
        <w:jc w:val="both"/>
        <w:rPr>
          <w:bCs/>
          <w:sz w:val="22"/>
          <w:szCs w:val="22"/>
        </w:rPr>
      </w:pPr>
      <w:r w:rsidRPr="00826220">
        <w:rPr>
          <w:b/>
          <w:bCs/>
          <w:sz w:val="22"/>
          <w:szCs w:val="22"/>
        </w:rPr>
        <w:t>Proposal 8:</w:t>
      </w:r>
      <w:r w:rsidRPr="00826220">
        <w:rPr>
          <w:b/>
          <w:sz w:val="22"/>
          <w:szCs w:val="22"/>
        </w:rPr>
        <w:t xml:space="preserve"> </w:t>
      </w:r>
      <w:r w:rsidRPr="00826220">
        <w:rPr>
          <w:sz w:val="22"/>
          <w:szCs w:val="22"/>
        </w:rPr>
        <w:t>RAN2</w:t>
      </w:r>
      <w:r w:rsidRPr="00826220">
        <w:rPr>
          <w:bCs/>
          <w:sz w:val="22"/>
          <w:szCs w:val="22"/>
        </w:rPr>
        <w:t xml:space="preserve"> to study the following for PRACH adaptation:</w:t>
      </w:r>
    </w:p>
    <w:p w14:paraId="56E24943" w14:textId="77777777" w:rsidR="00826220" w:rsidRPr="00826220" w:rsidRDefault="00826220" w:rsidP="00826220">
      <w:pPr>
        <w:rPr>
          <w:sz w:val="22"/>
          <w:szCs w:val="22"/>
        </w:rPr>
      </w:pPr>
      <w:r w:rsidRPr="00826220">
        <w:rPr>
          <w:b/>
          <w:bCs/>
          <w:sz w:val="22"/>
          <w:szCs w:val="22"/>
        </w:rPr>
        <w:t xml:space="preserve">Observation 6: </w:t>
      </w:r>
      <w:r w:rsidRPr="00826220">
        <w:rPr>
          <w:sz w:val="22"/>
          <w:szCs w:val="22"/>
        </w:rPr>
        <w:t xml:space="preserve">Option b is simpler to implement in specification than option </w:t>
      </w:r>
      <w:proofErr w:type="gramStart"/>
      <w:r w:rsidRPr="00826220">
        <w:rPr>
          <w:sz w:val="22"/>
          <w:szCs w:val="22"/>
        </w:rPr>
        <w:t>a for</w:t>
      </w:r>
      <w:proofErr w:type="gramEnd"/>
      <w:r w:rsidRPr="00826220">
        <w:rPr>
          <w:sz w:val="22"/>
          <w:szCs w:val="22"/>
        </w:rPr>
        <w:t xml:space="preserve"> paging adaptation.</w:t>
      </w:r>
    </w:p>
    <w:p w14:paraId="422169A1" w14:textId="77777777" w:rsidR="00826220" w:rsidRPr="00826220" w:rsidRDefault="00826220" w:rsidP="00826220">
      <w:pPr>
        <w:rPr>
          <w:sz w:val="22"/>
          <w:szCs w:val="22"/>
        </w:rPr>
      </w:pPr>
      <w:r w:rsidRPr="00826220">
        <w:rPr>
          <w:b/>
          <w:bCs/>
          <w:sz w:val="22"/>
          <w:szCs w:val="22"/>
        </w:rPr>
        <w:t xml:space="preserve">Observation 7: </w:t>
      </w:r>
      <w:r w:rsidRPr="00826220">
        <w:rPr>
          <w:sz w:val="22"/>
          <w:szCs w:val="22"/>
        </w:rPr>
        <w:t>There is no paging delay difference between a and b, but the distribution of POs in option b may negatively impact the network sleeping opportunities.</w:t>
      </w:r>
    </w:p>
    <w:p w14:paraId="16DE1A9C" w14:textId="77777777" w:rsidR="00826220" w:rsidRPr="00826220" w:rsidRDefault="00826220" w:rsidP="00826220">
      <w:pPr>
        <w:rPr>
          <w:sz w:val="22"/>
          <w:szCs w:val="22"/>
        </w:rPr>
      </w:pPr>
      <w:r w:rsidRPr="00826220">
        <w:rPr>
          <w:b/>
          <w:bCs/>
          <w:sz w:val="22"/>
          <w:szCs w:val="22"/>
        </w:rPr>
        <w:t xml:space="preserve">Observation 8: </w:t>
      </w:r>
      <w:r w:rsidRPr="00826220">
        <w:rPr>
          <w:sz w:val="22"/>
          <w:szCs w:val="22"/>
        </w:rPr>
        <w:t>The number of RACH resources is the same for both options, but in option b they do not overlap with other NW signaling and thus have higher energy cost</w:t>
      </w:r>
    </w:p>
    <w:p w14:paraId="61AF9355" w14:textId="77777777" w:rsidR="00826220" w:rsidRPr="00826220" w:rsidRDefault="00826220" w:rsidP="00826220">
      <w:pPr>
        <w:rPr>
          <w:sz w:val="22"/>
          <w:szCs w:val="22"/>
        </w:rPr>
      </w:pPr>
      <w:r w:rsidRPr="00826220">
        <w:rPr>
          <w:b/>
          <w:bCs/>
          <w:sz w:val="22"/>
          <w:szCs w:val="22"/>
        </w:rPr>
        <w:lastRenderedPageBreak/>
        <w:t xml:space="preserve">Observation 9: </w:t>
      </w:r>
      <w:r w:rsidRPr="00826220">
        <w:rPr>
          <w:sz w:val="22"/>
          <w:szCs w:val="22"/>
        </w:rPr>
        <w:t xml:space="preserve">In option b more reference signals (TRS) are </w:t>
      </w:r>
      <w:proofErr w:type="gramStart"/>
      <w:r w:rsidRPr="00826220">
        <w:rPr>
          <w:sz w:val="22"/>
          <w:szCs w:val="22"/>
        </w:rPr>
        <w:t>needed</w:t>
      </w:r>
      <w:proofErr w:type="gramEnd"/>
      <w:r w:rsidRPr="00826220">
        <w:rPr>
          <w:sz w:val="22"/>
          <w:szCs w:val="22"/>
        </w:rPr>
        <w:t xml:space="preserve"> and they will not overlap with other NW signaling and thus have higher energy cost</w:t>
      </w:r>
    </w:p>
    <w:p w14:paraId="27B41AB8" w14:textId="77777777" w:rsidR="00826220" w:rsidRPr="00826220" w:rsidRDefault="00826220" w:rsidP="00826220">
      <w:pPr>
        <w:rPr>
          <w:sz w:val="22"/>
          <w:szCs w:val="22"/>
        </w:rPr>
      </w:pPr>
      <w:r w:rsidRPr="00826220">
        <w:rPr>
          <w:b/>
          <w:bCs/>
          <w:sz w:val="22"/>
          <w:szCs w:val="22"/>
        </w:rPr>
        <w:t xml:space="preserve">Proposal 9: </w:t>
      </w:r>
      <w:r w:rsidRPr="00826220">
        <w:rPr>
          <w:sz w:val="22"/>
          <w:szCs w:val="22"/>
        </w:rPr>
        <w:t>RAN2 to prioritize to specify option a (bundle paging frames) for paging adaptation.</w:t>
      </w:r>
    </w:p>
    <w:p w14:paraId="4371BB77" w14:textId="77777777" w:rsidR="00826220" w:rsidRPr="00826220" w:rsidRDefault="00826220" w:rsidP="00826220">
      <w:pPr>
        <w:rPr>
          <w:b/>
          <w:bCs/>
          <w:sz w:val="22"/>
          <w:szCs w:val="22"/>
        </w:rPr>
      </w:pPr>
      <w:r w:rsidRPr="00826220">
        <w:rPr>
          <w:b/>
          <w:bCs/>
          <w:sz w:val="22"/>
          <w:szCs w:val="22"/>
        </w:rPr>
        <w:t xml:space="preserve">Observation 10: </w:t>
      </w:r>
      <w:r w:rsidRPr="00826220">
        <w:rPr>
          <w:sz w:val="22"/>
          <w:szCs w:val="22"/>
        </w:rPr>
        <w:t>Legacy UEs can monitor legacy PF(s) and legacy PO(s) which occur within a set of bundled PFs.</w:t>
      </w:r>
    </w:p>
    <w:p w14:paraId="7D31AE07" w14:textId="77777777" w:rsidR="00826220" w:rsidRPr="00826220" w:rsidRDefault="00826220" w:rsidP="00826220">
      <w:pPr>
        <w:rPr>
          <w:b/>
          <w:bCs/>
          <w:sz w:val="22"/>
          <w:szCs w:val="22"/>
        </w:rPr>
      </w:pPr>
      <w:r w:rsidRPr="00826220">
        <w:rPr>
          <w:b/>
          <w:bCs/>
          <w:sz w:val="22"/>
          <w:szCs w:val="22"/>
        </w:rPr>
        <w:t xml:space="preserve">Observation 11: </w:t>
      </w:r>
      <w:r w:rsidRPr="00826220">
        <w:rPr>
          <w:sz w:val="22"/>
          <w:szCs w:val="22"/>
        </w:rPr>
        <w:t>Legacy UEs can monitor legacy PF(s) and legacy PO(s) based on legacy value of N and not PF(s) and PO(s) based on a new N, when the new PF(s) and PO(s) do not coincide with the legacy PF(s) and PO(s).</w:t>
      </w:r>
    </w:p>
    <w:p w14:paraId="75EE2EA9" w14:textId="77777777" w:rsidR="00826220" w:rsidRPr="00826220" w:rsidRDefault="00826220" w:rsidP="00826220">
      <w:pPr>
        <w:rPr>
          <w:sz w:val="22"/>
          <w:szCs w:val="22"/>
        </w:rPr>
      </w:pPr>
      <w:r w:rsidRPr="00826220">
        <w:rPr>
          <w:b/>
          <w:bCs/>
          <w:sz w:val="22"/>
          <w:szCs w:val="22"/>
        </w:rPr>
        <w:t xml:space="preserve">Proposal 10: </w:t>
      </w:r>
      <w:r w:rsidRPr="00826220">
        <w:rPr>
          <w:sz w:val="22"/>
          <w:szCs w:val="22"/>
        </w:rPr>
        <w:t xml:space="preserve">Rel-19 NES UEs can use legacy PF(s) and PO(s) in addition to Rel-19 PF(s) and PO(s), while legacy UEs cannot use Rel-19 PF(s) and PO(s) based on option </w:t>
      </w:r>
      <w:proofErr w:type="gramStart"/>
      <w:r w:rsidRPr="00826220">
        <w:rPr>
          <w:sz w:val="22"/>
          <w:szCs w:val="22"/>
        </w:rPr>
        <w:t>a or</w:t>
      </w:r>
      <w:proofErr w:type="gramEnd"/>
      <w:r w:rsidRPr="00826220">
        <w:rPr>
          <w:sz w:val="22"/>
          <w:szCs w:val="22"/>
        </w:rPr>
        <w:t xml:space="preserve"> b.</w:t>
      </w:r>
    </w:p>
    <w:p w14:paraId="4D810DCB" w14:textId="77777777" w:rsidR="00826220" w:rsidRPr="00826220" w:rsidRDefault="00826220" w:rsidP="00826220">
      <w:pPr>
        <w:rPr>
          <w:b/>
          <w:bCs/>
          <w:sz w:val="22"/>
          <w:szCs w:val="22"/>
        </w:rPr>
      </w:pPr>
      <w:r w:rsidRPr="00826220">
        <w:rPr>
          <w:b/>
          <w:bCs/>
          <w:sz w:val="22"/>
          <w:szCs w:val="22"/>
        </w:rPr>
        <w:t xml:space="preserve">Proposal 11: </w:t>
      </w:r>
      <w:r w:rsidRPr="00826220">
        <w:rPr>
          <w:sz w:val="22"/>
          <w:szCs w:val="22"/>
        </w:rPr>
        <w:t>RAN2 to discuss if and how the paging adaptation enhancement will impact UEs configured with a UE specific DRX cycle.</w:t>
      </w:r>
    </w:p>
    <w:p w14:paraId="6AFAFD16" w14:textId="77777777" w:rsidR="00826220" w:rsidRPr="00826220" w:rsidRDefault="00826220" w:rsidP="00826220">
      <w:pPr>
        <w:jc w:val="both"/>
        <w:rPr>
          <w:b/>
          <w:bCs/>
          <w:sz w:val="22"/>
          <w:szCs w:val="22"/>
        </w:rPr>
      </w:pPr>
      <w:r w:rsidRPr="00826220">
        <w:rPr>
          <w:b/>
          <w:bCs/>
          <w:sz w:val="22"/>
          <w:szCs w:val="22"/>
        </w:rPr>
        <w:t xml:space="preserve">Proposal 12: </w:t>
      </w:r>
      <w:r w:rsidRPr="00826220">
        <w:rPr>
          <w:sz w:val="22"/>
          <w:szCs w:val="22"/>
        </w:rPr>
        <w:t>RAN2 to study PRACH adaptation in time domain to spread the PRACH load when paging occasion adaptation is used.</w:t>
      </w:r>
    </w:p>
    <w:p w14:paraId="39CC14C0" w14:textId="77777777" w:rsidR="00826220" w:rsidRDefault="00826220" w:rsidP="00826220"/>
    <w:p w14:paraId="731AE907" w14:textId="77777777" w:rsidR="00826220" w:rsidRDefault="00826220" w:rsidP="00826220"/>
    <w:p w14:paraId="7BCBC9FB" w14:textId="77777777" w:rsidR="00826220" w:rsidRDefault="00826220" w:rsidP="00826220"/>
    <w:p w14:paraId="29CD03CC" w14:textId="77777777" w:rsidR="00826220" w:rsidRPr="00826220" w:rsidRDefault="00826220" w:rsidP="00826220"/>
    <w:sectPr w:rsidR="00826220" w:rsidRPr="008262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792B8" w14:textId="77777777" w:rsidR="00DE5D29" w:rsidRPr="00C461E2" w:rsidRDefault="00DE5D29">
      <w:r w:rsidRPr="00C461E2">
        <w:separator/>
      </w:r>
    </w:p>
  </w:endnote>
  <w:endnote w:type="continuationSeparator" w:id="0">
    <w:p w14:paraId="03FF9870" w14:textId="77777777" w:rsidR="00DE5D29" w:rsidRPr="00C461E2" w:rsidRDefault="00DE5D29">
      <w:r w:rsidRPr="00C461E2">
        <w:continuationSeparator/>
      </w:r>
    </w:p>
  </w:endnote>
  <w:endnote w:type="continuationNotice" w:id="1">
    <w:p w14:paraId="1439FF61" w14:textId="77777777" w:rsidR="00DE5D29" w:rsidRPr="00C461E2" w:rsidRDefault="00DE5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0AD0BE" w14:textId="77777777" w:rsidR="00DE5D29" w:rsidRPr="00C461E2" w:rsidRDefault="00DE5D29">
      <w:r w:rsidRPr="00C461E2">
        <w:separator/>
      </w:r>
    </w:p>
  </w:footnote>
  <w:footnote w:type="continuationSeparator" w:id="0">
    <w:p w14:paraId="591096F2" w14:textId="77777777" w:rsidR="00DE5D29" w:rsidRPr="00C461E2" w:rsidRDefault="00DE5D29">
      <w:r w:rsidRPr="00C461E2">
        <w:continuationSeparator/>
      </w:r>
    </w:p>
  </w:footnote>
  <w:footnote w:type="continuationNotice" w:id="1">
    <w:p w14:paraId="5E355FB9" w14:textId="77777777" w:rsidR="00DE5D29" w:rsidRPr="00C461E2" w:rsidRDefault="00DE5D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40FE2"/>
    <w:multiLevelType w:val="hybridMultilevel"/>
    <w:tmpl w:val="AAB0D596"/>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BD469C"/>
    <w:multiLevelType w:val="hybridMultilevel"/>
    <w:tmpl w:val="8506D2E4"/>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4EC0B54"/>
    <w:multiLevelType w:val="hybridMultilevel"/>
    <w:tmpl w:val="ACE8CAD4"/>
    <w:lvl w:ilvl="0" w:tplc="DC6EE820">
      <w:start w:val="1"/>
      <w:numFmt w:val="bullet"/>
      <w:lvlText w:val=""/>
      <w:lvlJc w:val="left"/>
      <w:pPr>
        <w:ind w:left="720" w:hanging="360"/>
      </w:pPr>
      <w:rPr>
        <w:rFonts w:ascii="Symbol" w:hAnsi="Symbol"/>
      </w:rPr>
    </w:lvl>
    <w:lvl w:ilvl="1" w:tplc="A9C6A838">
      <w:start w:val="1"/>
      <w:numFmt w:val="bullet"/>
      <w:lvlText w:val=""/>
      <w:lvlJc w:val="left"/>
      <w:pPr>
        <w:ind w:left="720" w:hanging="360"/>
      </w:pPr>
      <w:rPr>
        <w:rFonts w:ascii="Symbol" w:hAnsi="Symbol"/>
      </w:rPr>
    </w:lvl>
    <w:lvl w:ilvl="2" w:tplc="DF148E10">
      <w:start w:val="1"/>
      <w:numFmt w:val="bullet"/>
      <w:lvlText w:val=""/>
      <w:lvlJc w:val="left"/>
      <w:pPr>
        <w:ind w:left="720" w:hanging="360"/>
      </w:pPr>
      <w:rPr>
        <w:rFonts w:ascii="Symbol" w:hAnsi="Symbol"/>
      </w:rPr>
    </w:lvl>
    <w:lvl w:ilvl="3" w:tplc="87183A0C">
      <w:start w:val="1"/>
      <w:numFmt w:val="bullet"/>
      <w:lvlText w:val=""/>
      <w:lvlJc w:val="left"/>
      <w:pPr>
        <w:ind w:left="720" w:hanging="360"/>
      </w:pPr>
      <w:rPr>
        <w:rFonts w:ascii="Symbol" w:hAnsi="Symbol"/>
      </w:rPr>
    </w:lvl>
    <w:lvl w:ilvl="4" w:tplc="34C60D1E">
      <w:start w:val="1"/>
      <w:numFmt w:val="bullet"/>
      <w:lvlText w:val=""/>
      <w:lvlJc w:val="left"/>
      <w:pPr>
        <w:ind w:left="720" w:hanging="360"/>
      </w:pPr>
      <w:rPr>
        <w:rFonts w:ascii="Symbol" w:hAnsi="Symbol"/>
      </w:rPr>
    </w:lvl>
    <w:lvl w:ilvl="5" w:tplc="97F871D6">
      <w:start w:val="1"/>
      <w:numFmt w:val="bullet"/>
      <w:lvlText w:val=""/>
      <w:lvlJc w:val="left"/>
      <w:pPr>
        <w:ind w:left="720" w:hanging="360"/>
      </w:pPr>
      <w:rPr>
        <w:rFonts w:ascii="Symbol" w:hAnsi="Symbol"/>
      </w:rPr>
    </w:lvl>
    <w:lvl w:ilvl="6" w:tplc="BB6486AC">
      <w:start w:val="1"/>
      <w:numFmt w:val="bullet"/>
      <w:lvlText w:val=""/>
      <w:lvlJc w:val="left"/>
      <w:pPr>
        <w:ind w:left="720" w:hanging="360"/>
      </w:pPr>
      <w:rPr>
        <w:rFonts w:ascii="Symbol" w:hAnsi="Symbol"/>
      </w:rPr>
    </w:lvl>
    <w:lvl w:ilvl="7" w:tplc="DE0ADAD8">
      <w:start w:val="1"/>
      <w:numFmt w:val="bullet"/>
      <w:lvlText w:val=""/>
      <w:lvlJc w:val="left"/>
      <w:pPr>
        <w:ind w:left="720" w:hanging="360"/>
      </w:pPr>
      <w:rPr>
        <w:rFonts w:ascii="Symbol" w:hAnsi="Symbol"/>
      </w:rPr>
    </w:lvl>
    <w:lvl w:ilvl="8" w:tplc="545CB1EE">
      <w:start w:val="1"/>
      <w:numFmt w:val="bullet"/>
      <w:lvlText w:val=""/>
      <w:lvlJc w:val="left"/>
      <w:pPr>
        <w:ind w:left="720" w:hanging="360"/>
      </w:pPr>
      <w:rPr>
        <w:rFonts w:ascii="Symbol" w:hAnsi="Symbol"/>
      </w:rPr>
    </w:lvl>
  </w:abstractNum>
  <w:abstractNum w:abstractNumId="15"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A3127AD"/>
    <w:multiLevelType w:val="hybridMultilevel"/>
    <w:tmpl w:val="0B8E8358"/>
    <w:lvl w:ilvl="0" w:tplc="05DC1CA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616705"/>
    <w:multiLevelType w:val="hybridMultilevel"/>
    <w:tmpl w:val="F7B462E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8"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A366E3"/>
    <w:multiLevelType w:val="hybridMultilevel"/>
    <w:tmpl w:val="D144DE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1305D1D"/>
    <w:multiLevelType w:val="hybridMultilevel"/>
    <w:tmpl w:val="CEC8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F45064"/>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tentative="1">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22" w15:restartNumberingAfterBreak="0">
    <w:nsid w:val="2A694923"/>
    <w:multiLevelType w:val="hybridMultilevel"/>
    <w:tmpl w:val="89D42E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2A2E84"/>
    <w:multiLevelType w:val="hybridMultilevel"/>
    <w:tmpl w:val="C316D130"/>
    <w:lvl w:ilvl="0" w:tplc="FFFFFFFF">
      <w:start w:val="1"/>
      <w:numFmt w:val="decimal"/>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44688B"/>
    <w:multiLevelType w:val="hybridMultilevel"/>
    <w:tmpl w:val="B14AD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A2B3AB5"/>
    <w:multiLevelType w:val="hybridMultilevel"/>
    <w:tmpl w:val="F8743754"/>
    <w:lvl w:ilvl="0" w:tplc="E3AE23CC">
      <w:start w:val="1"/>
      <w:numFmt w:val="bullet"/>
      <w:lvlText w:val="•"/>
      <w:lvlJc w:val="left"/>
      <w:pPr>
        <w:tabs>
          <w:tab w:val="num" w:pos="720"/>
        </w:tabs>
        <w:ind w:left="720" w:hanging="360"/>
      </w:pPr>
      <w:rPr>
        <w:rFonts w:ascii="Arial" w:hAnsi="Arial" w:hint="default"/>
      </w:rPr>
    </w:lvl>
    <w:lvl w:ilvl="1" w:tplc="AD369086" w:tentative="1">
      <w:start w:val="1"/>
      <w:numFmt w:val="bullet"/>
      <w:lvlText w:val="•"/>
      <w:lvlJc w:val="left"/>
      <w:pPr>
        <w:tabs>
          <w:tab w:val="num" w:pos="1440"/>
        </w:tabs>
        <w:ind w:left="1440" w:hanging="360"/>
      </w:pPr>
      <w:rPr>
        <w:rFonts w:ascii="Arial" w:hAnsi="Arial" w:hint="default"/>
      </w:rPr>
    </w:lvl>
    <w:lvl w:ilvl="2" w:tplc="ED0806F4" w:tentative="1">
      <w:start w:val="1"/>
      <w:numFmt w:val="bullet"/>
      <w:lvlText w:val="•"/>
      <w:lvlJc w:val="left"/>
      <w:pPr>
        <w:tabs>
          <w:tab w:val="num" w:pos="2160"/>
        </w:tabs>
        <w:ind w:left="2160" w:hanging="360"/>
      </w:pPr>
      <w:rPr>
        <w:rFonts w:ascii="Arial" w:hAnsi="Arial" w:hint="default"/>
      </w:rPr>
    </w:lvl>
    <w:lvl w:ilvl="3" w:tplc="22461CFA" w:tentative="1">
      <w:start w:val="1"/>
      <w:numFmt w:val="bullet"/>
      <w:lvlText w:val="•"/>
      <w:lvlJc w:val="left"/>
      <w:pPr>
        <w:tabs>
          <w:tab w:val="num" w:pos="2880"/>
        </w:tabs>
        <w:ind w:left="2880" w:hanging="360"/>
      </w:pPr>
      <w:rPr>
        <w:rFonts w:ascii="Arial" w:hAnsi="Arial" w:hint="default"/>
      </w:rPr>
    </w:lvl>
    <w:lvl w:ilvl="4" w:tplc="E58CE162" w:tentative="1">
      <w:start w:val="1"/>
      <w:numFmt w:val="bullet"/>
      <w:lvlText w:val="•"/>
      <w:lvlJc w:val="left"/>
      <w:pPr>
        <w:tabs>
          <w:tab w:val="num" w:pos="3600"/>
        </w:tabs>
        <w:ind w:left="3600" w:hanging="360"/>
      </w:pPr>
      <w:rPr>
        <w:rFonts w:ascii="Arial" w:hAnsi="Arial" w:hint="default"/>
      </w:rPr>
    </w:lvl>
    <w:lvl w:ilvl="5" w:tplc="0582BE48" w:tentative="1">
      <w:start w:val="1"/>
      <w:numFmt w:val="bullet"/>
      <w:lvlText w:val="•"/>
      <w:lvlJc w:val="left"/>
      <w:pPr>
        <w:tabs>
          <w:tab w:val="num" w:pos="4320"/>
        </w:tabs>
        <w:ind w:left="4320" w:hanging="360"/>
      </w:pPr>
      <w:rPr>
        <w:rFonts w:ascii="Arial" w:hAnsi="Arial" w:hint="default"/>
      </w:rPr>
    </w:lvl>
    <w:lvl w:ilvl="6" w:tplc="5AC6B486" w:tentative="1">
      <w:start w:val="1"/>
      <w:numFmt w:val="bullet"/>
      <w:lvlText w:val="•"/>
      <w:lvlJc w:val="left"/>
      <w:pPr>
        <w:tabs>
          <w:tab w:val="num" w:pos="5040"/>
        </w:tabs>
        <w:ind w:left="5040" w:hanging="360"/>
      </w:pPr>
      <w:rPr>
        <w:rFonts w:ascii="Arial" w:hAnsi="Arial" w:hint="default"/>
      </w:rPr>
    </w:lvl>
    <w:lvl w:ilvl="7" w:tplc="EA92775E" w:tentative="1">
      <w:start w:val="1"/>
      <w:numFmt w:val="bullet"/>
      <w:lvlText w:val="•"/>
      <w:lvlJc w:val="left"/>
      <w:pPr>
        <w:tabs>
          <w:tab w:val="num" w:pos="5760"/>
        </w:tabs>
        <w:ind w:left="5760" w:hanging="360"/>
      </w:pPr>
      <w:rPr>
        <w:rFonts w:ascii="Arial" w:hAnsi="Arial" w:hint="default"/>
      </w:rPr>
    </w:lvl>
    <w:lvl w:ilvl="8" w:tplc="D034D38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CEF5D19"/>
    <w:multiLevelType w:val="hybridMultilevel"/>
    <w:tmpl w:val="9FC4D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658B5F3F"/>
    <w:multiLevelType w:val="multilevel"/>
    <w:tmpl w:val="A2540154"/>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6DE0195"/>
    <w:multiLevelType w:val="hybridMultilevel"/>
    <w:tmpl w:val="D78A6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F84426E"/>
    <w:multiLevelType w:val="hybridMultilevel"/>
    <w:tmpl w:val="830CD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FF06785"/>
    <w:multiLevelType w:val="hybridMultilevel"/>
    <w:tmpl w:val="63EEF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7"/>
  </w:num>
  <w:num w:numId="5" w16cid:durableId="630793192">
    <w:abstractNumId w:val="25"/>
  </w:num>
  <w:num w:numId="6" w16cid:durableId="1154301696">
    <w:abstractNumId w:val="31"/>
  </w:num>
  <w:num w:numId="7" w16cid:durableId="1489399165">
    <w:abstractNumId w:val="3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10705502">
    <w:abstractNumId w:val="29"/>
  </w:num>
  <w:num w:numId="19" w16cid:durableId="2112702123">
    <w:abstractNumId w:val="15"/>
  </w:num>
  <w:num w:numId="20" w16cid:durableId="735207795">
    <w:abstractNumId w:val="24"/>
  </w:num>
  <w:num w:numId="21" w16cid:durableId="2140680007">
    <w:abstractNumId w:val="36"/>
  </w:num>
  <w:num w:numId="22" w16cid:durableId="1489200992">
    <w:abstractNumId w:val="18"/>
  </w:num>
  <w:num w:numId="23" w16cid:durableId="819494664">
    <w:abstractNumId w:val="20"/>
  </w:num>
  <w:num w:numId="24" w16cid:durableId="1334722971">
    <w:abstractNumId w:val="14"/>
  </w:num>
  <w:num w:numId="25" w16cid:durableId="1443958652">
    <w:abstractNumId w:val="26"/>
  </w:num>
  <w:num w:numId="26" w16cid:durableId="1929383252">
    <w:abstractNumId w:val="16"/>
  </w:num>
  <w:num w:numId="27" w16cid:durableId="460197286">
    <w:abstractNumId w:val="33"/>
  </w:num>
  <w:num w:numId="28" w16cid:durableId="1447575066">
    <w:abstractNumId w:val="28"/>
  </w:num>
  <w:num w:numId="29" w16cid:durableId="657542741">
    <w:abstractNumId w:val="11"/>
  </w:num>
  <w:num w:numId="30" w16cid:durableId="772017122">
    <w:abstractNumId w:val="19"/>
  </w:num>
  <w:num w:numId="31" w16cid:durableId="763889389">
    <w:abstractNumId w:val="23"/>
  </w:num>
  <w:num w:numId="32" w16cid:durableId="235824965">
    <w:abstractNumId w:val="17"/>
  </w:num>
  <w:num w:numId="33" w16cid:durableId="1063330998">
    <w:abstractNumId w:val="13"/>
  </w:num>
  <w:num w:numId="34" w16cid:durableId="53890831">
    <w:abstractNumId w:val="21"/>
  </w:num>
  <w:num w:numId="35" w16cid:durableId="2024894087">
    <w:abstractNumId w:val="35"/>
  </w:num>
  <w:num w:numId="36" w16cid:durableId="144275255">
    <w:abstractNumId w:val="30"/>
  </w:num>
  <w:num w:numId="37" w16cid:durableId="156504104">
    <w:abstractNumId w:val="34"/>
  </w:num>
  <w:num w:numId="38" w16cid:durableId="21456581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B7"/>
    <w:rsid w:val="000048F2"/>
    <w:rsid w:val="00004DFE"/>
    <w:rsid w:val="00006C10"/>
    <w:rsid w:val="00014042"/>
    <w:rsid w:val="00016557"/>
    <w:rsid w:val="00017075"/>
    <w:rsid w:val="000234C7"/>
    <w:rsid w:val="00023C40"/>
    <w:rsid w:val="00023C59"/>
    <w:rsid w:val="0002507D"/>
    <w:rsid w:val="000275CC"/>
    <w:rsid w:val="0003302D"/>
    <w:rsid w:val="00033397"/>
    <w:rsid w:val="00040095"/>
    <w:rsid w:val="000404AB"/>
    <w:rsid w:val="00040D04"/>
    <w:rsid w:val="00044DD4"/>
    <w:rsid w:val="00050E92"/>
    <w:rsid w:val="00054302"/>
    <w:rsid w:val="0005433D"/>
    <w:rsid w:val="00065268"/>
    <w:rsid w:val="00073C9C"/>
    <w:rsid w:val="00076412"/>
    <w:rsid w:val="00080512"/>
    <w:rsid w:val="00080956"/>
    <w:rsid w:val="00080D63"/>
    <w:rsid w:val="0008156E"/>
    <w:rsid w:val="00081BE4"/>
    <w:rsid w:val="00090468"/>
    <w:rsid w:val="000907CB"/>
    <w:rsid w:val="0009156B"/>
    <w:rsid w:val="000930D5"/>
    <w:rsid w:val="00094568"/>
    <w:rsid w:val="0009753E"/>
    <w:rsid w:val="00097A91"/>
    <w:rsid w:val="000A0F8D"/>
    <w:rsid w:val="000B04FA"/>
    <w:rsid w:val="000B2D85"/>
    <w:rsid w:val="000B338F"/>
    <w:rsid w:val="000B4782"/>
    <w:rsid w:val="000B7BCF"/>
    <w:rsid w:val="000C522B"/>
    <w:rsid w:val="000C59FA"/>
    <w:rsid w:val="000C6947"/>
    <w:rsid w:val="000C7D39"/>
    <w:rsid w:val="000D06E3"/>
    <w:rsid w:val="000D0768"/>
    <w:rsid w:val="000D31CD"/>
    <w:rsid w:val="000D58AB"/>
    <w:rsid w:val="000D7912"/>
    <w:rsid w:val="000E5B49"/>
    <w:rsid w:val="000E7061"/>
    <w:rsid w:val="000F405D"/>
    <w:rsid w:val="000F78AB"/>
    <w:rsid w:val="00104611"/>
    <w:rsid w:val="00105354"/>
    <w:rsid w:val="0010573C"/>
    <w:rsid w:val="00106909"/>
    <w:rsid w:val="00112F1A"/>
    <w:rsid w:val="00123C46"/>
    <w:rsid w:val="0012420D"/>
    <w:rsid w:val="00124794"/>
    <w:rsid w:val="00125499"/>
    <w:rsid w:val="0012610D"/>
    <w:rsid w:val="001329CF"/>
    <w:rsid w:val="00135D38"/>
    <w:rsid w:val="00145075"/>
    <w:rsid w:val="00150572"/>
    <w:rsid w:val="00156FCC"/>
    <w:rsid w:val="001570DE"/>
    <w:rsid w:val="00161DC0"/>
    <w:rsid w:val="00165FDC"/>
    <w:rsid w:val="00172285"/>
    <w:rsid w:val="001741A0"/>
    <w:rsid w:val="0017569E"/>
    <w:rsid w:val="00175FA0"/>
    <w:rsid w:val="0018542A"/>
    <w:rsid w:val="001876B6"/>
    <w:rsid w:val="00193C89"/>
    <w:rsid w:val="00194CD0"/>
    <w:rsid w:val="001A1B3E"/>
    <w:rsid w:val="001A3CF5"/>
    <w:rsid w:val="001A6AF1"/>
    <w:rsid w:val="001B49C9"/>
    <w:rsid w:val="001B5412"/>
    <w:rsid w:val="001B58D3"/>
    <w:rsid w:val="001C22C9"/>
    <w:rsid w:val="001C23F4"/>
    <w:rsid w:val="001C4F79"/>
    <w:rsid w:val="001C69BC"/>
    <w:rsid w:val="001D0593"/>
    <w:rsid w:val="001D265D"/>
    <w:rsid w:val="001D714E"/>
    <w:rsid w:val="001D7224"/>
    <w:rsid w:val="001D7CE3"/>
    <w:rsid w:val="001E2F4D"/>
    <w:rsid w:val="001E77F9"/>
    <w:rsid w:val="001E7AA9"/>
    <w:rsid w:val="001F168B"/>
    <w:rsid w:val="001F7831"/>
    <w:rsid w:val="002007FC"/>
    <w:rsid w:val="00203935"/>
    <w:rsid w:val="00204045"/>
    <w:rsid w:val="0020712B"/>
    <w:rsid w:val="00207607"/>
    <w:rsid w:val="00211E30"/>
    <w:rsid w:val="00216198"/>
    <w:rsid w:val="002213EE"/>
    <w:rsid w:val="00221C30"/>
    <w:rsid w:val="00225BDF"/>
    <w:rsid w:val="0022606D"/>
    <w:rsid w:val="00231728"/>
    <w:rsid w:val="0023781A"/>
    <w:rsid w:val="0023785F"/>
    <w:rsid w:val="002402B7"/>
    <w:rsid w:val="00244519"/>
    <w:rsid w:val="00244A05"/>
    <w:rsid w:val="002457CE"/>
    <w:rsid w:val="00247D58"/>
    <w:rsid w:val="00250404"/>
    <w:rsid w:val="0025392A"/>
    <w:rsid w:val="00256B74"/>
    <w:rsid w:val="00257659"/>
    <w:rsid w:val="002610D8"/>
    <w:rsid w:val="00263B42"/>
    <w:rsid w:val="002747EC"/>
    <w:rsid w:val="00274E60"/>
    <w:rsid w:val="00280EB9"/>
    <w:rsid w:val="0028289C"/>
    <w:rsid w:val="002855BF"/>
    <w:rsid w:val="00290A7C"/>
    <w:rsid w:val="002A4944"/>
    <w:rsid w:val="002B2988"/>
    <w:rsid w:val="002B72F6"/>
    <w:rsid w:val="002B78F1"/>
    <w:rsid w:val="002C13DA"/>
    <w:rsid w:val="002C206D"/>
    <w:rsid w:val="002C4004"/>
    <w:rsid w:val="002C4B40"/>
    <w:rsid w:val="002C7C5B"/>
    <w:rsid w:val="002D1165"/>
    <w:rsid w:val="002D4965"/>
    <w:rsid w:val="002D6D7C"/>
    <w:rsid w:val="002E0EA8"/>
    <w:rsid w:val="002E1C64"/>
    <w:rsid w:val="002E3631"/>
    <w:rsid w:val="002E3EE8"/>
    <w:rsid w:val="002E4EA2"/>
    <w:rsid w:val="002E6EFD"/>
    <w:rsid w:val="002E7783"/>
    <w:rsid w:val="002F0D22"/>
    <w:rsid w:val="002F3AB7"/>
    <w:rsid w:val="00301124"/>
    <w:rsid w:val="00301FA6"/>
    <w:rsid w:val="0030740E"/>
    <w:rsid w:val="00310364"/>
    <w:rsid w:val="00311B17"/>
    <w:rsid w:val="00312B08"/>
    <w:rsid w:val="003172DC"/>
    <w:rsid w:val="003219CF"/>
    <w:rsid w:val="00325AE3"/>
    <w:rsid w:val="00326069"/>
    <w:rsid w:val="00326410"/>
    <w:rsid w:val="003344F6"/>
    <w:rsid w:val="003378C2"/>
    <w:rsid w:val="003405E7"/>
    <w:rsid w:val="00340871"/>
    <w:rsid w:val="00347D35"/>
    <w:rsid w:val="0035462D"/>
    <w:rsid w:val="00363011"/>
    <w:rsid w:val="0036459E"/>
    <w:rsid w:val="00364B41"/>
    <w:rsid w:val="00383096"/>
    <w:rsid w:val="00384D5C"/>
    <w:rsid w:val="003854FE"/>
    <w:rsid w:val="0039346C"/>
    <w:rsid w:val="0039490C"/>
    <w:rsid w:val="003A41EF"/>
    <w:rsid w:val="003A64BA"/>
    <w:rsid w:val="003B40AD"/>
    <w:rsid w:val="003B5632"/>
    <w:rsid w:val="003C4479"/>
    <w:rsid w:val="003C4E37"/>
    <w:rsid w:val="003D0FD0"/>
    <w:rsid w:val="003D23B3"/>
    <w:rsid w:val="003E16BE"/>
    <w:rsid w:val="003E1A83"/>
    <w:rsid w:val="003E5716"/>
    <w:rsid w:val="003E789A"/>
    <w:rsid w:val="003F3317"/>
    <w:rsid w:val="003F4E03"/>
    <w:rsid w:val="003F4E28"/>
    <w:rsid w:val="003F76B6"/>
    <w:rsid w:val="004006E8"/>
    <w:rsid w:val="00401855"/>
    <w:rsid w:val="00412FAD"/>
    <w:rsid w:val="0041330D"/>
    <w:rsid w:val="00415583"/>
    <w:rsid w:val="0043296C"/>
    <w:rsid w:val="00433779"/>
    <w:rsid w:val="00440874"/>
    <w:rsid w:val="004464CA"/>
    <w:rsid w:val="00446BB9"/>
    <w:rsid w:val="00446C3A"/>
    <w:rsid w:val="00447A8A"/>
    <w:rsid w:val="0045434A"/>
    <w:rsid w:val="00460CDE"/>
    <w:rsid w:val="00465587"/>
    <w:rsid w:val="004657F9"/>
    <w:rsid w:val="00473262"/>
    <w:rsid w:val="0047518D"/>
    <w:rsid w:val="00475CEF"/>
    <w:rsid w:val="00477455"/>
    <w:rsid w:val="00496086"/>
    <w:rsid w:val="004A11AD"/>
    <w:rsid w:val="004A1F7B"/>
    <w:rsid w:val="004A2DBC"/>
    <w:rsid w:val="004A405A"/>
    <w:rsid w:val="004B4F5B"/>
    <w:rsid w:val="004B7F5E"/>
    <w:rsid w:val="004C44D2"/>
    <w:rsid w:val="004D074A"/>
    <w:rsid w:val="004D1365"/>
    <w:rsid w:val="004D3578"/>
    <w:rsid w:val="004D380D"/>
    <w:rsid w:val="004E083B"/>
    <w:rsid w:val="004E213A"/>
    <w:rsid w:val="004E445C"/>
    <w:rsid w:val="004E4812"/>
    <w:rsid w:val="004E6777"/>
    <w:rsid w:val="004E7553"/>
    <w:rsid w:val="004F4540"/>
    <w:rsid w:val="004F7291"/>
    <w:rsid w:val="004F73A7"/>
    <w:rsid w:val="0050020C"/>
    <w:rsid w:val="00503171"/>
    <w:rsid w:val="00505018"/>
    <w:rsid w:val="00506C28"/>
    <w:rsid w:val="00510AF6"/>
    <w:rsid w:val="00515CFC"/>
    <w:rsid w:val="00523E19"/>
    <w:rsid w:val="00525DFE"/>
    <w:rsid w:val="00533EFB"/>
    <w:rsid w:val="00534DA0"/>
    <w:rsid w:val="00537342"/>
    <w:rsid w:val="00537809"/>
    <w:rsid w:val="00540E87"/>
    <w:rsid w:val="005432D9"/>
    <w:rsid w:val="00543533"/>
    <w:rsid w:val="00543E6C"/>
    <w:rsid w:val="00556296"/>
    <w:rsid w:val="00565087"/>
    <w:rsid w:val="0056573F"/>
    <w:rsid w:val="00571279"/>
    <w:rsid w:val="00575FC5"/>
    <w:rsid w:val="00582EEC"/>
    <w:rsid w:val="005836D8"/>
    <w:rsid w:val="005840CB"/>
    <w:rsid w:val="0058562E"/>
    <w:rsid w:val="005866FD"/>
    <w:rsid w:val="00593745"/>
    <w:rsid w:val="005A13AB"/>
    <w:rsid w:val="005A2768"/>
    <w:rsid w:val="005A49C6"/>
    <w:rsid w:val="005B329F"/>
    <w:rsid w:val="005B5D45"/>
    <w:rsid w:val="005B610D"/>
    <w:rsid w:val="005C10A3"/>
    <w:rsid w:val="005C244E"/>
    <w:rsid w:val="005C2513"/>
    <w:rsid w:val="005C570D"/>
    <w:rsid w:val="005C766E"/>
    <w:rsid w:val="005C7CD5"/>
    <w:rsid w:val="005E2ADA"/>
    <w:rsid w:val="005F2944"/>
    <w:rsid w:val="00603214"/>
    <w:rsid w:val="00611566"/>
    <w:rsid w:val="00616969"/>
    <w:rsid w:val="006200F4"/>
    <w:rsid w:val="00620114"/>
    <w:rsid w:val="00632221"/>
    <w:rsid w:val="00644009"/>
    <w:rsid w:val="006468CF"/>
    <w:rsid w:val="00646D99"/>
    <w:rsid w:val="00647446"/>
    <w:rsid w:val="00652BC3"/>
    <w:rsid w:val="006540AA"/>
    <w:rsid w:val="00654C4C"/>
    <w:rsid w:val="00656910"/>
    <w:rsid w:val="006574C0"/>
    <w:rsid w:val="00663E21"/>
    <w:rsid w:val="0066417D"/>
    <w:rsid w:val="0067187C"/>
    <w:rsid w:val="006801DF"/>
    <w:rsid w:val="00680C2F"/>
    <w:rsid w:val="006816C7"/>
    <w:rsid w:val="006833B7"/>
    <w:rsid w:val="006846C9"/>
    <w:rsid w:val="00696821"/>
    <w:rsid w:val="006A4E3C"/>
    <w:rsid w:val="006C3169"/>
    <w:rsid w:val="006C66D8"/>
    <w:rsid w:val="006D1E24"/>
    <w:rsid w:val="006D35DE"/>
    <w:rsid w:val="006D7228"/>
    <w:rsid w:val="006E1057"/>
    <w:rsid w:val="006E1304"/>
    <w:rsid w:val="006E1417"/>
    <w:rsid w:val="006E32FA"/>
    <w:rsid w:val="006E4EA7"/>
    <w:rsid w:val="006E601A"/>
    <w:rsid w:val="006F67C0"/>
    <w:rsid w:val="006F6A2C"/>
    <w:rsid w:val="0070149E"/>
    <w:rsid w:val="007067A6"/>
    <w:rsid w:val="007069DC"/>
    <w:rsid w:val="00710201"/>
    <w:rsid w:val="00710C2C"/>
    <w:rsid w:val="0071444C"/>
    <w:rsid w:val="00720251"/>
    <w:rsid w:val="0072073A"/>
    <w:rsid w:val="00723B23"/>
    <w:rsid w:val="00723DC7"/>
    <w:rsid w:val="00732B9B"/>
    <w:rsid w:val="007342B5"/>
    <w:rsid w:val="00734629"/>
    <w:rsid w:val="00734A5B"/>
    <w:rsid w:val="00734F9B"/>
    <w:rsid w:val="007351FD"/>
    <w:rsid w:val="00741F68"/>
    <w:rsid w:val="00744E76"/>
    <w:rsid w:val="00754D6C"/>
    <w:rsid w:val="00757D40"/>
    <w:rsid w:val="00760AE3"/>
    <w:rsid w:val="00763991"/>
    <w:rsid w:val="00765995"/>
    <w:rsid w:val="007662B5"/>
    <w:rsid w:val="0077404B"/>
    <w:rsid w:val="00781F0F"/>
    <w:rsid w:val="00782548"/>
    <w:rsid w:val="00785262"/>
    <w:rsid w:val="00787078"/>
    <w:rsid w:val="00787112"/>
    <w:rsid w:val="0078727C"/>
    <w:rsid w:val="0079049D"/>
    <w:rsid w:val="007911F4"/>
    <w:rsid w:val="00793DC5"/>
    <w:rsid w:val="00793EF0"/>
    <w:rsid w:val="00796823"/>
    <w:rsid w:val="007A2E55"/>
    <w:rsid w:val="007A4B47"/>
    <w:rsid w:val="007A5A0C"/>
    <w:rsid w:val="007B18D8"/>
    <w:rsid w:val="007B49E8"/>
    <w:rsid w:val="007B71D9"/>
    <w:rsid w:val="007C06B4"/>
    <w:rsid w:val="007C095F"/>
    <w:rsid w:val="007C2DD0"/>
    <w:rsid w:val="007D0206"/>
    <w:rsid w:val="007D1A73"/>
    <w:rsid w:val="007D666E"/>
    <w:rsid w:val="007E1CB5"/>
    <w:rsid w:val="007F0DD9"/>
    <w:rsid w:val="007F2E08"/>
    <w:rsid w:val="007F595E"/>
    <w:rsid w:val="008024FA"/>
    <w:rsid w:val="008028A4"/>
    <w:rsid w:val="00804A77"/>
    <w:rsid w:val="00805E5B"/>
    <w:rsid w:val="00806417"/>
    <w:rsid w:val="00811AE2"/>
    <w:rsid w:val="00813245"/>
    <w:rsid w:val="008179D3"/>
    <w:rsid w:val="008253C5"/>
    <w:rsid w:val="00826220"/>
    <w:rsid w:val="00826B63"/>
    <w:rsid w:val="008333A1"/>
    <w:rsid w:val="00833926"/>
    <w:rsid w:val="008375CA"/>
    <w:rsid w:val="00840DE0"/>
    <w:rsid w:val="008418EB"/>
    <w:rsid w:val="00844A76"/>
    <w:rsid w:val="008459D4"/>
    <w:rsid w:val="00847CD0"/>
    <w:rsid w:val="00853761"/>
    <w:rsid w:val="008537C7"/>
    <w:rsid w:val="00860495"/>
    <w:rsid w:val="008607A8"/>
    <w:rsid w:val="00860F1F"/>
    <w:rsid w:val="008610E5"/>
    <w:rsid w:val="0086354A"/>
    <w:rsid w:val="00866209"/>
    <w:rsid w:val="0087146B"/>
    <w:rsid w:val="00871A51"/>
    <w:rsid w:val="008768CA"/>
    <w:rsid w:val="00877EF9"/>
    <w:rsid w:val="00880559"/>
    <w:rsid w:val="00884438"/>
    <w:rsid w:val="00886EB8"/>
    <w:rsid w:val="008912A4"/>
    <w:rsid w:val="00892677"/>
    <w:rsid w:val="008A2373"/>
    <w:rsid w:val="008A26E8"/>
    <w:rsid w:val="008A43F2"/>
    <w:rsid w:val="008B0EB5"/>
    <w:rsid w:val="008B3112"/>
    <w:rsid w:val="008B4A26"/>
    <w:rsid w:val="008B4B5C"/>
    <w:rsid w:val="008B5306"/>
    <w:rsid w:val="008B54E8"/>
    <w:rsid w:val="008B65BB"/>
    <w:rsid w:val="008C1138"/>
    <w:rsid w:val="008C1750"/>
    <w:rsid w:val="008C2E2A"/>
    <w:rsid w:val="008C3057"/>
    <w:rsid w:val="008C4094"/>
    <w:rsid w:val="008C7CEB"/>
    <w:rsid w:val="008D2E4D"/>
    <w:rsid w:val="008E3B3E"/>
    <w:rsid w:val="008F396F"/>
    <w:rsid w:val="008F3DCD"/>
    <w:rsid w:val="00901378"/>
    <w:rsid w:val="00902386"/>
    <w:rsid w:val="0090271F"/>
    <w:rsid w:val="00902DB9"/>
    <w:rsid w:val="0090466A"/>
    <w:rsid w:val="00905E5A"/>
    <w:rsid w:val="00913721"/>
    <w:rsid w:val="00922795"/>
    <w:rsid w:val="00923655"/>
    <w:rsid w:val="00924482"/>
    <w:rsid w:val="009248C6"/>
    <w:rsid w:val="0093123F"/>
    <w:rsid w:val="009339CB"/>
    <w:rsid w:val="00936071"/>
    <w:rsid w:val="009376CD"/>
    <w:rsid w:val="00940212"/>
    <w:rsid w:val="00942EC2"/>
    <w:rsid w:val="00945C0B"/>
    <w:rsid w:val="0094740E"/>
    <w:rsid w:val="00961B32"/>
    <w:rsid w:val="00962509"/>
    <w:rsid w:val="00963070"/>
    <w:rsid w:val="00970DB3"/>
    <w:rsid w:val="00974BB0"/>
    <w:rsid w:val="00975BCD"/>
    <w:rsid w:val="009818A2"/>
    <w:rsid w:val="00981925"/>
    <w:rsid w:val="009928A9"/>
    <w:rsid w:val="00992C2B"/>
    <w:rsid w:val="009944CF"/>
    <w:rsid w:val="009A0AF3"/>
    <w:rsid w:val="009B07CD"/>
    <w:rsid w:val="009B40C2"/>
    <w:rsid w:val="009C14BD"/>
    <w:rsid w:val="009C19E9"/>
    <w:rsid w:val="009D74A6"/>
    <w:rsid w:val="009E0498"/>
    <w:rsid w:val="009E0E87"/>
    <w:rsid w:val="009E2E0D"/>
    <w:rsid w:val="009F0D32"/>
    <w:rsid w:val="009F14B6"/>
    <w:rsid w:val="009F1BFB"/>
    <w:rsid w:val="009F449E"/>
    <w:rsid w:val="009F7CFF"/>
    <w:rsid w:val="00A10F02"/>
    <w:rsid w:val="00A11AC8"/>
    <w:rsid w:val="00A12388"/>
    <w:rsid w:val="00A135E3"/>
    <w:rsid w:val="00A1360A"/>
    <w:rsid w:val="00A17176"/>
    <w:rsid w:val="00A204CA"/>
    <w:rsid w:val="00A209D6"/>
    <w:rsid w:val="00A20E8B"/>
    <w:rsid w:val="00A22738"/>
    <w:rsid w:val="00A26AAA"/>
    <w:rsid w:val="00A270F6"/>
    <w:rsid w:val="00A27D6A"/>
    <w:rsid w:val="00A309EE"/>
    <w:rsid w:val="00A320DA"/>
    <w:rsid w:val="00A36F5F"/>
    <w:rsid w:val="00A40F9E"/>
    <w:rsid w:val="00A42679"/>
    <w:rsid w:val="00A430EC"/>
    <w:rsid w:val="00A53724"/>
    <w:rsid w:val="00A54B2B"/>
    <w:rsid w:val="00A66EA0"/>
    <w:rsid w:val="00A671CB"/>
    <w:rsid w:val="00A703B6"/>
    <w:rsid w:val="00A71F7D"/>
    <w:rsid w:val="00A7672E"/>
    <w:rsid w:val="00A82346"/>
    <w:rsid w:val="00A82C2E"/>
    <w:rsid w:val="00A844AD"/>
    <w:rsid w:val="00A844E3"/>
    <w:rsid w:val="00A845D0"/>
    <w:rsid w:val="00A87B17"/>
    <w:rsid w:val="00A90A23"/>
    <w:rsid w:val="00A95D43"/>
    <w:rsid w:val="00A9636E"/>
    <w:rsid w:val="00A9671C"/>
    <w:rsid w:val="00AA1553"/>
    <w:rsid w:val="00AA3F28"/>
    <w:rsid w:val="00AC4183"/>
    <w:rsid w:val="00AC4AD9"/>
    <w:rsid w:val="00AC4E72"/>
    <w:rsid w:val="00AC65A7"/>
    <w:rsid w:val="00AD026B"/>
    <w:rsid w:val="00AD3980"/>
    <w:rsid w:val="00AD7E7C"/>
    <w:rsid w:val="00AF17FF"/>
    <w:rsid w:val="00AF37C1"/>
    <w:rsid w:val="00AF7572"/>
    <w:rsid w:val="00B05380"/>
    <w:rsid w:val="00B05962"/>
    <w:rsid w:val="00B0680D"/>
    <w:rsid w:val="00B06F83"/>
    <w:rsid w:val="00B15449"/>
    <w:rsid w:val="00B16B08"/>
    <w:rsid w:val="00B16C2F"/>
    <w:rsid w:val="00B23102"/>
    <w:rsid w:val="00B27303"/>
    <w:rsid w:val="00B30879"/>
    <w:rsid w:val="00B35677"/>
    <w:rsid w:val="00B35ABE"/>
    <w:rsid w:val="00B35AEE"/>
    <w:rsid w:val="00B36265"/>
    <w:rsid w:val="00B37D34"/>
    <w:rsid w:val="00B40B99"/>
    <w:rsid w:val="00B43308"/>
    <w:rsid w:val="00B43D1C"/>
    <w:rsid w:val="00B45B2C"/>
    <w:rsid w:val="00B45E50"/>
    <w:rsid w:val="00B47FD1"/>
    <w:rsid w:val="00B501CF"/>
    <w:rsid w:val="00B516BB"/>
    <w:rsid w:val="00B53604"/>
    <w:rsid w:val="00B54848"/>
    <w:rsid w:val="00B5751D"/>
    <w:rsid w:val="00B638A1"/>
    <w:rsid w:val="00B669E9"/>
    <w:rsid w:val="00B67732"/>
    <w:rsid w:val="00B72EBA"/>
    <w:rsid w:val="00B74B82"/>
    <w:rsid w:val="00B7538C"/>
    <w:rsid w:val="00B84BC2"/>
    <w:rsid w:val="00B84DB2"/>
    <w:rsid w:val="00B87C45"/>
    <w:rsid w:val="00B93486"/>
    <w:rsid w:val="00B9720E"/>
    <w:rsid w:val="00BA280F"/>
    <w:rsid w:val="00BA3C27"/>
    <w:rsid w:val="00BB3A9C"/>
    <w:rsid w:val="00BB4E8B"/>
    <w:rsid w:val="00BC0F7E"/>
    <w:rsid w:val="00BC281F"/>
    <w:rsid w:val="00BC3555"/>
    <w:rsid w:val="00BC5F8E"/>
    <w:rsid w:val="00BC6076"/>
    <w:rsid w:val="00BD18E9"/>
    <w:rsid w:val="00BD2C99"/>
    <w:rsid w:val="00BE2B71"/>
    <w:rsid w:val="00BE2FAA"/>
    <w:rsid w:val="00BE4126"/>
    <w:rsid w:val="00BF09CD"/>
    <w:rsid w:val="00BF65CF"/>
    <w:rsid w:val="00C036C4"/>
    <w:rsid w:val="00C064DF"/>
    <w:rsid w:val="00C06B6B"/>
    <w:rsid w:val="00C07F25"/>
    <w:rsid w:val="00C12B51"/>
    <w:rsid w:val="00C13020"/>
    <w:rsid w:val="00C146AF"/>
    <w:rsid w:val="00C24650"/>
    <w:rsid w:val="00C25307"/>
    <w:rsid w:val="00C25465"/>
    <w:rsid w:val="00C31806"/>
    <w:rsid w:val="00C33079"/>
    <w:rsid w:val="00C3308D"/>
    <w:rsid w:val="00C362BC"/>
    <w:rsid w:val="00C370E9"/>
    <w:rsid w:val="00C405FA"/>
    <w:rsid w:val="00C461E2"/>
    <w:rsid w:val="00C55A12"/>
    <w:rsid w:val="00C62721"/>
    <w:rsid w:val="00C65226"/>
    <w:rsid w:val="00C6553E"/>
    <w:rsid w:val="00C710C5"/>
    <w:rsid w:val="00C73FB4"/>
    <w:rsid w:val="00C82B35"/>
    <w:rsid w:val="00C83A13"/>
    <w:rsid w:val="00C8454F"/>
    <w:rsid w:val="00C86F10"/>
    <w:rsid w:val="00C9068C"/>
    <w:rsid w:val="00C92967"/>
    <w:rsid w:val="00CA19DE"/>
    <w:rsid w:val="00CA3D0C"/>
    <w:rsid w:val="00CA42B3"/>
    <w:rsid w:val="00CA654B"/>
    <w:rsid w:val="00CA77F5"/>
    <w:rsid w:val="00CA7BC6"/>
    <w:rsid w:val="00CB72B8"/>
    <w:rsid w:val="00CB7D0B"/>
    <w:rsid w:val="00CC4CAF"/>
    <w:rsid w:val="00CD0BA8"/>
    <w:rsid w:val="00CD3354"/>
    <w:rsid w:val="00CD4BD9"/>
    <w:rsid w:val="00CD4C7B"/>
    <w:rsid w:val="00CD58FE"/>
    <w:rsid w:val="00CE08E8"/>
    <w:rsid w:val="00CE3F1D"/>
    <w:rsid w:val="00CE42B9"/>
    <w:rsid w:val="00CE643D"/>
    <w:rsid w:val="00CF0CF5"/>
    <w:rsid w:val="00CF2AF8"/>
    <w:rsid w:val="00D16C0F"/>
    <w:rsid w:val="00D225EB"/>
    <w:rsid w:val="00D246FE"/>
    <w:rsid w:val="00D33BE3"/>
    <w:rsid w:val="00D33DAF"/>
    <w:rsid w:val="00D35B3A"/>
    <w:rsid w:val="00D3792D"/>
    <w:rsid w:val="00D44228"/>
    <w:rsid w:val="00D45F10"/>
    <w:rsid w:val="00D50620"/>
    <w:rsid w:val="00D54820"/>
    <w:rsid w:val="00D556F1"/>
    <w:rsid w:val="00D55E47"/>
    <w:rsid w:val="00D60FFC"/>
    <w:rsid w:val="00D62E19"/>
    <w:rsid w:val="00D67CD1"/>
    <w:rsid w:val="00D70B21"/>
    <w:rsid w:val="00D727C7"/>
    <w:rsid w:val="00D738D6"/>
    <w:rsid w:val="00D74F6A"/>
    <w:rsid w:val="00D75C8A"/>
    <w:rsid w:val="00D80795"/>
    <w:rsid w:val="00D854BE"/>
    <w:rsid w:val="00D87E00"/>
    <w:rsid w:val="00D9134D"/>
    <w:rsid w:val="00D91B21"/>
    <w:rsid w:val="00D95D04"/>
    <w:rsid w:val="00D96D11"/>
    <w:rsid w:val="00DA06FD"/>
    <w:rsid w:val="00DA237A"/>
    <w:rsid w:val="00DA4EE4"/>
    <w:rsid w:val="00DA7A03"/>
    <w:rsid w:val="00DB0566"/>
    <w:rsid w:val="00DB0DB8"/>
    <w:rsid w:val="00DB1818"/>
    <w:rsid w:val="00DB274B"/>
    <w:rsid w:val="00DB3C16"/>
    <w:rsid w:val="00DB4A90"/>
    <w:rsid w:val="00DB6F45"/>
    <w:rsid w:val="00DB7C1C"/>
    <w:rsid w:val="00DC2945"/>
    <w:rsid w:val="00DC2E54"/>
    <w:rsid w:val="00DC309B"/>
    <w:rsid w:val="00DC4DA2"/>
    <w:rsid w:val="00DC5261"/>
    <w:rsid w:val="00DC7264"/>
    <w:rsid w:val="00DD4CCB"/>
    <w:rsid w:val="00DD6D5A"/>
    <w:rsid w:val="00DD7BDC"/>
    <w:rsid w:val="00DE25D2"/>
    <w:rsid w:val="00DE3832"/>
    <w:rsid w:val="00DE5D29"/>
    <w:rsid w:val="00DE6051"/>
    <w:rsid w:val="00DF15E2"/>
    <w:rsid w:val="00DF7C20"/>
    <w:rsid w:val="00E038FB"/>
    <w:rsid w:val="00E04780"/>
    <w:rsid w:val="00E10570"/>
    <w:rsid w:val="00E14B13"/>
    <w:rsid w:val="00E202F6"/>
    <w:rsid w:val="00E23346"/>
    <w:rsid w:val="00E35E54"/>
    <w:rsid w:val="00E42DE9"/>
    <w:rsid w:val="00E446DD"/>
    <w:rsid w:val="00E46C08"/>
    <w:rsid w:val="00E471CF"/>
    <w:rsid w:val="00E47C2B"/>
    <w:rsid w:val="00E56603"/>
    <w:rsid w:val="00E62835"/>
    <w:rsid w:val="00E6480E"/>
    <w:rsid w:val="00E67FFB"/>
    <w:rsid w:val="00E73BF0"/>
    <w:rsid w:val="00E77645"/>
    <w:rsid w:val="00E83697"/>
    <w:rsid w:val="00E859B6"/>
    <w:rsid w:val="00E905D2"/>
    <w:rsid w:val="00E93879"/>
    <w:rsid w:val="00E96799"/>
    <w:rsid w:val="00EA66C9"/>
    <w:rsid w:val="00EA73BA"/>
    <w:rsid w:val="00EB44FB"/>
    <w:rsid w:val="00EB5D32"/>
    <w:rsid w:val="00EB7066"/>
    <w:rsid w:val="00EC26CC"/>
    <w:rsid w:val="00EC4A25"/>
    <w:rsid w:val="00ED19A0"/>
    <w:rsid w:val="00EE3028"/>
    <w:rsid w:val="00EE7620"/>
    <w:rsid w:val="00EF1CAB"/>
    <w:rsid w:val="00EF612C"/>
    <w:rsid w:val="00EF76A8"/>
    <w:rsid w:val="00F003D3"/>
    <w:rsid w:val="00F025A2"/>
    <w:rsid w:val="00F036E9"/>
    <w:rsid w:val="00F07388"/>
    <w:rsid w:val="00F12BD4"/>
    <w:rsid w:val="00F13C34"/>
    <w:rsid w:val="00F2026E"/>
    <w:rsid w:val="00F2210A"/>
    <w:rsid w:val="00F31372"/>
    <w:rsid w:val="00F37743"/>
    <w:rsid w:val="00F40C2F"/>
    <w:rsid w:val="00F42493"/>
    <w:rsid w:val="00F54A3D"/>
    <w:rsid w:val="00F54CB0"/>
    <w:rsid w:val="00F579CD"/>
    <w:rsid w:val="00F653B8"/>
    <w:rsid w:val="00F66E9F"/>
    <w:rsid w:val="00F7008D"/>
    <w:rsid w:val="00F71B89"/>
    <w:rsid w:val="00F7346D"/>
    <w:rsid w:val="00F7353C"/>
    <w:rsid w:val="00F764A9"/>
    <w:rsid w:val="00F76F8F"/>
    <w:rsid w:val="00F87048"/>
    <w:rsid w:val="00F87257"/>
    <w:rsid w:val="00F93995"/>
    <w:rsid w:val="00F941DF"/>
    <w:rsid w:val="00F952EC"/>
    <w:rsid w:val="00F97A01"/>
    <w:rsid w:val="00FA0FB6"/>
    <w:rsid w:val="00FA1266"/>
    <w:rsid w:val="00FA2694"/>
    <w:rsid w:val="00FB36FA"/>
    <w:rsid w:val="00FB44E7"/>
    <w:rsid w:val="00FC063A"/>
    <w:rsid w:val="00FC1192"/>
    <w:rsid w:val="00FD2EC9"/>
    <w:rsid w:val="00FD595E"/>
    <w:rsid w:val="00FE106D"/>
    <w:rsid w:val="00FE2444"/>
    <w:rsid w:val="00FE251B"/>
    <w:rsid w:val="00FE2964"/>
    <w:rsid w:val="00FE2DF4"/>
    <w:rsid w:val="00FE39FB"/>
    <w:rsid w:val="00FF1473"/>
    <w:rsid w:val="00FF181A"/>
    <w:rsid w:val="00FF1C68"/>
    <w:rsid w:val="00FF3478"/>
    <w:rsid w:val="00FF3857"/>
    <w:rsid w:val="00FF5AB0"/>
    <w:rsid w:val="00FF76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ABC9086-11C4-40BD-8C9D-E6B4997AC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351FD"/>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39"/>
    <w:qFormat/>
    <w:rsid w:val="00735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351FD"/>
    <w:pPr>
      <w:numPr>
        <w:numId w:val="20"/>
      </w:numPr>
    </w:pPr>
  </w:style>
  <w:style w:type="character" w:customStyle="1" w:styleId="Heading1Char">
    <w:name w:val="Heading 1 Char"/>
    <w:basedOn w:val="DefaultParagraphFont"/>
    <w:link w:val="Heading1"/>
    <w:rsid w:val="003F3317"/>
    <w:rPr>
      <w:rFonts w:ascii="Arial" w:hAnsi="Arial"/>
      <w:sz w:val="36"/>
      <w:lang w:eastAsia="en-US"/>
    </w:rPr>
  </w:style>
  <w:style w:type="character" w:styleId="CommentReference">
    <w:name w:val="annotation reference"/>
    <w:rsid w:val="00AF17FF"/>
    <w:rPr>
      <w:sz w:val="16"/>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AF17FF"/>
    <w:rPr>
      <w:lang w:eastAsia="en-US"/>
    </w:rPr>
  </w:style>
  <w:style w:type="character" w:styleId="Mention">
    <w:name w:val="Mention"/>
    <w:basedOn w:val="DefaultParagraphFont"/>
    <w:uiPriority w:val="99"/>
    <w:unhideWhenUsed/>
    <w:rsid w:val="00AF17FF"/>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B638A1"/>
    <w:rPr>
      <w:i/>
      <w:iCs/>
      <w:color w:val="44546A" w:themeColor="text2"/>
      <w:sz w:val="18"/>
      <w:szCs w:val="18"/>
      <w:lang w:val="en-US" w:eastAsia="en-US"/>
    </w:rPr>
  </w:style>
  <w:style w:type="paragraph" w:styleId="Revision">
    <w:name w:val="Revision"/>
    <w:hidden/>
    <w:uiPriority w:val="99"/>
    <w:semiHidden/>
    <w:rsid w:val="00A42679"/>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02357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2506564">
      <w:bodyDiv w:val="1"/>
      <w:marLeft w:val="0"/>
      <w:marRight w:val="0"/>
      <w:marTop w:val="0"/>
      <w:marBottom w:val="0"/>
      <w:divBdr>
        <w:top w:val="none" w:sz="0" w:space="0" w:color="auto"/>
        <w:left w:val="none" w:sz="0" w:space="0" w:color="auto"/>
        <w:bottom w:val="none" w:sz="0" w:space="0" w:color="auto"/>
        <w:right w:val="none" w:sz="0" w:space="0" w:color="auto"/>
      </w:divBdr>
    </w:div>
    <w:div w:id="1434281341">
      <w:bodyDiv w:val="1"/>
      <w:marLeft w:val="0"/>
      <w:marRight w:val="0"/>
      <w:marTop w:val="0"/>
      <w:marBottom w:val="0"/>
      <w:divBdr>
        <w:top w:val="none" w:sz="0" w:space="0" w:color="auto"/>
        <w:left w:val="none" w:sz="0" w:space="0" w:color="auto"/>
        <w:bottom w:val="none" w:sz="0" w:space="0" w:color="auto"/>
        <w:right w:val="none" w:sz="0" w:space="0" w:color="auto"/>
      </w:divBdr>
    </w:div>
    <w:div w:id="205379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RBI5PAMIO524-1616901215-25964</_dlc_DocId>
    <_dlc_DocIdUrl xmlns="71c5aaf6-e6ce-465b-b873-5148d2a4c105">
      <Url>https://nokia.sharepoint.com/sites/gxp/_layouts/15/DocIdRedir.aspx?ID=RBI5PAMIO524-1616901215-25964</Url>
      <Description>RBI5PAMIO524-1616901215-25964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F8EDF73-4F15-4C1B-9414-4455290102CD}">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023F088E-DEA2-44F1-8854-203F62372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~WRL3536.tmp</Template>
  <TotalTime>789</TotalTime>
  <Pages>8</Pages>
  <Words>3725</Words>
  <Characters>19002</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22682</CharactersWithSpaces>
  <SharedDoc>false</SharedDoc>
  <HyperlinkBase/>
  <HLinks>
    <vt:vector size="30" baseType="variant">
      <vt:variant>
        <vt:i4>5439606</vt:i4>
      </vt:variant>
      <vt:variant>
        <vt:i4>12</vt:i4>
      </vt:variant>
      <vt:variant>
        <vt:i4>0</vt:i4>
      </vt:variant>
      <vt:variant>
        <vt:i4>5</vt:i4>
      </vt:variant>
      <vt:variant>
        <vt:lpwstr>mailto:chunli.wu@nokia-sbell.com</vt:lpwstr>
      </vt:variant>
      <vt:variant>
        <vt:lpwstr/>
      </vt:variant>
      <vt:variant>
        <vt:i4>8257600</vt:i4>
      </vt:variant>
      <vt:variant>
        <vt:i4>9</vt:i4>
      </vt:variant>
      <vt:variant>
        <vt:i4>0</vt:i4>
      </vt:variant>
      <vt:variant>
        <vt:i4>5</vt:i4>
      </vt:variant>
      <vt:variant>
        <vt:lpwstr>mailto:jarkko.t.koskela@nokia.com</vt:lpwstr>
      </vt:variant>
      <vt:variant>
        <vt:lpwstr/>
      </vt:variant>
      <vt:variant>
        <vt:i4>5439606</vt:i4>
      </vt:variant>
      <vt:variant>
        <vt:i4>6</vt:i4>
      </vt:variant>
      <vt:variant>
        <vt:i4>0</vt:i4>
      </vt:variant>
      <vt:variant>
        <vt:i4>5</vt:i4>
      </vt:variant>
      <vt:variant>
        <vt:lpwstr>mailto:chunli.wu@nokia-sbell.com</vt:lpwstr>
      </vt:variant>
      <vt:variant>
        <vt:lpwstr/>
      </vt:variant>
      <vt:variant>
        <vt:i4>8060994</vt:i4>
      </vt:variant>
      <vt:variant>
        <vt:i4>3</vt:i4>
      </vt:variant>
      <vt:variant>
        <vt:i4>0</vt:i4>
      </vt:variant>
      <vt:variant>
        <vt:i4>5</vt:i4>
      </vt:variant>
      <vt:variant>
        <vt:lpwstr>mailto:jussi-pekka.koskinen@nokia.com</vt:lpwstr>
      </vt:variant>
      <vt:variant>
        <vt:lpwstr/>
      </vt:variant>
      <vt:variant>
        <vt:i4>8257600</vt:i4>
      </vt:variant>
      <vt:variant>
        <vt:i4>0</vt:i4>
      </vt:variant>
      <vt:variant>
        <vt:i4>0</vt:i4>
      </vt:variant>
      <vt:variant>
        <vt:i4>5</vt:i4>
      </vt:variant>
      <vt:variant>
        <vt:lpwstr>mailto:jarkko.t.koskela@nokia.com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49</cp:revision>
  <dcterms:created xsi:type="dcterms:W3CDTF">2024-05-09T21:36:00Z</dcterms:created>
  <dcterms:modified xsi:type="dcterms:W3CDTF">2024-08-09T07:52:00Z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c5891453-6dfb-43c5-a6af-6fbb798752af</vt:lpwstr>
  </property>
</Properties>
</file>